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6FC85" w14:textId="2837E9DD" w:rsidR="00EA2CF1" w:rsidRPr="00EA2CF1" w:rsidRDefault="00766E35" w:rsidP="00EA2CF1">
      <w:pPr>
        <w:rPr>
          <w:rFonts w:eastAsia="Times New Roman"/>
        </w:rPr>
      </w:pPr>
      <w:r w:rsidRPr="00326396">
        <w:rPr>
          <w:rFonts w:ascii="Arial" w:hAnsi="Arial" w:cs="Arial"/>
          <w:b/>
          <w:bCs/>
        </w:rPr>
        <w:t>3GPP TSG RAN WG1 Meeting #94</w:t>
      </w:r>
      <w:r w:rsidRPr="00326396">
        <w:rPr>
          <w:rFonts w:ascii="Arial" w:hAnsi="Arial" w:cs="Arial"/>
          <w:b/>
          <w:bCs/>
        </w:rPr>
        <w:tab/>
      </w:r>
      <w:r w:rsidRPr="00326396">
        <w:rPr>
          <w:rFonts w:ascii="Arial" w:hAnsi="Arial" w:cs="Arial"/>
          <w:b/>
          <w:bCs/>
        </w:rPr>
        <w:tab/>
      </w:r>
      <w:r w:rsidRPr="00326396">
        <w:rPr>
          <w:rFonts w:ascii="Arial" w:hAnsi="Arial" w:cs="Arial"/>
          <w:b/>
          <w:bCs/>
        </w:rPr>
        <w:tab/>
      </w:r>
      <w:r w:rsidR="00911503">
        <w:rPr>
          <w:rFonts w:ascii="Arial" w:hAnsi="Arial" w:cs="Arial"/>
          <w:b/>
          <w:bCs/>
        </w:rPr>
        <w:tab/>
      </w:r>
      <w:r w:rsidR="00911503">
        <w:rPr>
          <w:rFonts w:ascii="Arial" w:hAnsi="Arial" w:cs="Arial"/>
          <w:b/>
          <w:bCs/>
        </w:rPr>
        <w:tab/>
      </w:r>
      <w:r w:rsidR="00911503">
        <w:rPr>
          <w:rFonts w:ascii="Arial" w:hAnsi="Arial" w:cs="Arial"/>
          <w:b/>
          <w:bCs/>
        </w:rPr>
        <w:tab/>
      </w:r>
      <w:r w:rsidR="00911503">
        <w:rPr>
          <w:rFonts w:ascii="Arial" w:hAnsi="Arial" w:cs="Arial"/>
          <w:b/>
          <w:bCs/>
        </w:rPr>
        <w:tab/>
      </w:r>
      <w:r w:rsidR="00911503">
        <w:rPr>
          <w:rFonts w:ascii="Arial" w:hAnsi="Arial" w:cs="Arial"/>
          <w:b/>
          <w:bCs/>
        </w:rPr>
        <w:tab/>
      </w:r>
      <w:r w:rsidR="00911503">
        <w:rPr>
          <w:rFonts w:ascii="Arial" w:hAnsi="Arial" w:cs="Arial"/>
          <w:b/>
          <w:bCs/>
        </w:rPr>
        <w:tab/>
      </w:r>
      <w:r w:rsidR="00EA2CF1">
        <w:rPr>
          <w:rFonts w:ascii="Arial" w:hAnsi="Arial" w:cs="Arial"/>
          <w:b/>
          <w:bCs/>
        </w:rPr>
        <w:tab/>
      </w:r>
      <w:r w:rsidR="00EA2CF1">
        <w:rPr>
          <w:rFonts w:ascii="Arial" w:hAnsi="Arial" w:cs="Arial"/>
          <w:b/>
          <w:bCs/>
        </w:rPr>
        <w:tab/>
      </w:r>
      <w:r w:rsidR="00EA2CF1">
        <w:rPr>
          <w:rFonts w:ascii="Arial" w:hAnsi="Arial" w:cs="Arial"/>
          <w:b/>
          <w:bCs/>
        </w:rPr>
        <w:tab/>
      </w:r>
      <w:r w:rsidR="00EA2CF1">
        <w:rPr>
          <w:rFonts w:ascii="Arial" w:hAnsi="Arial" w:cs="Arial"/>
          <w:b/>
          <w:bCs/>
        </w:rPr>
        <w:tab/>
      </w:r>
      <w:r w:rsidR="00EA2CF1">
        <w:rPr>
          <w:rFonts w:ascii="Arial" w:hAnsi="Arial" w:cs="Arial"/>
          <w:b/>
          <w:bCs/>
        </w:rPr>
        <w:tab/>
      </w:r>
      <w:r w:rsidR="00EA2CF1">
        <w:rPr>
          <w:rFonts w:ascii="Arial" w:hAnsi="Arial" w:cs="Arial"/>
          <w:b/>
          <w:bCs/>
        </w:rPr>
        <w:tab/>
      </w:r>
      <w:r w:rsidR="00EA2CF1">
        <w:rPr>
          <w:rFonts w:ascii="Arial" w:hAnsi="Arial" w:cs="Arial"/>
          <w:b/>
          <w:bCs/>
        </w:rPr>
        <w:tab/>
      </w:r>
      <w:bookmarkStart w:id="0" w:name="_GoBack"/>
      <w:bookmarkEnd w:id="0"/>
      <w:r w:rsidR="00EA2CF1" w:rsidRPr="00EA2CF1">
        <w:rPr>
          <w:rFonts w:ascii="Arial" w:hAnsi="Arial" w:cs="Arial"/>
          <w:b/>
          <w:bCs/>
        </w:rPr>
        <w:t>R1-1808610</w:t>
      </w:r>
    </w:p>
    <w:p w14:paraId="11225761" w14:textId="77777777" w:rsidR="00EA2CF1" w:rsidRDefault="00EA2CF1" w:rsidP="00766E35">
      <w:pPr>
        <w:tabs>
          <w:tab w:val="center" w:pos="4536"/>
          <w:tab w:val="right" w:pos="8280"/>
          <w:tab w:val="right" w:pos="9639"/>
        </w:tabs>
        <w:ind w:right="2"/>
        <w:rPr>
          <w:rFonts w:ascii="Arial" w:hAnsi="Arial" w:cs="Arial"/>
          <w:b/>
          <w:bCs/>
        </w:rPr>
      </w:pPr>
    </w:p>
    <w:p w14:paraId="4BE66657" w14:textId="77777777" w:rsidR="00766E35" w:rsidRPr="00326396" w:rsidRDefault="00766E35" w:rsidP="00766E35">
      <w:pPr>
        <w:tabs>
          <w:tab w:val="center" w:pos="4536"/>
          <w:tab w:val="right" w:pos="9072"/>
        </w:tabs>
        <w:rPr>
          <w:rFonts w:ascii="Arial" w:eastAsia="MS Mincho" w:hAnsi="Arial" w:cs="Arial"/>
          <w:b/>
          <w:bCs/>
          <w:lang w:eastAsia="ja-JP"/>
        </w:rPr>
      </w:pPr>
      <w:r w:rsidRPr="00326396">
        <w:rPr>
          <w:rFonts w:ascii="Arial" w:eastAsia="MS Mincho" w:hAnsi="Arial" w:cs="Arial"/>
          <w:b/>
          <w:bCs/>
          <w:lang w:eastAsia="ja-JP"/>
        </w:rPr>
        <w:t>Gothenburg, Sweden, August 20</w:t>
      </w:r>
      <w:r w:rsidRPr="00326396">
        <w:rPr>
          <w:rFonts w:ascii="Arial" w:eastAsia="MS Mincho" w:hAnsi="Arial" w:cs="Arial"/>
          <w:b/>
          <w:bCs/>
          <w:vertAlign w:val="superscript"/>
          <w:lang w:eastAsia="ja-JP"/>
        </w:rPr>
        <w:t>th</w:t>
      </w:r>
      <w:r w:rsidRPr="00326396">
        <w:rPr>
          <w:rFonts w:ascii="Arial" w:eastAsia="MS Mincho" w:hAnsi="Arial" w:cs="Arial"/>
          <w:b/>
          <w:bCs/>
          <w:lang w:eastAsia="ja-JP"/>
        </w:rPr>
        <w:t xml:space="preserve"> – 24</w:t>
      </w:r>
      <w:r w:rsidRPr="00326396">
        <w:rPr>
          <w:rFonts w:ascii="Arial" w:eastAsia="MS Mincho" w:hAnsi="Arial" w:cs="Arial"/>
          <w:b/>
          <w:bCs/>
          <w:vertAlign w:val="superscript"/>
          <w:lang w:eastAsia="ja-JP"/>
        </w:rPr>
        <w:t>th</w:t>
      </w:r>
      <w:r w:rsidRPr="00326396">
        <w:rPr>
          <w:rFonts w:ascii="Arial" w:eastAsia="MS Mincho" w:hAnsi="Arial" w:cs="Arial"/>
          <w:b/>
          <w:bCs/>
          <w:lang w:eastAsia="ja-JP"/>
        </w:rPr>
        <w:t xml:space="preserve">, 2018 </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55523C31"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7.1.</w:t>
      </w:r>
      <w:r w:rsidR="0096741E">
        <w:rPr>
          <w:sz w:val="22"/>
          <w:szCs w:val="22"/>
        </w:rPr>
        <w:t>7</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48AB7A06" w14:textId="49F982F3" w:rsidR="00766E35" w:rsidRDefault="003D3C45" w:rsidP="00311702">
      <w:pPr>
        <w:pStyle w:val="3GPPHeader"/>
        <w:rPr>
          <w:sz w:val="22"/>
          <w:szCs w:val="22"/>
        </w:rPr>
      </w:pPr>
      <w:r w:rsidRPr="00315C6E">
        <w:rPr>
          <w:sz w:val="22"/>
          <w:szCs w:val="22"/>
        </w:rPr>
        <w:t>Title:</w:t>
      </w:r>
      <w:r w:rsidR="00E90E49" w:rsidRPr="00315C6E">
        <w:rPr>
          <w:sz w:val="22"/>
          <w:szCs w:val="22"/>
        </w:rPr>
        <w:tab/>
      </w:r>
      <w:r w:rsidR="00766E35" w:rsidRPr="00766E35">
        <w:rPr>
          <w:sz w:val="22"/>
          <w:szCs w:val="22"/>
        </w:rPr>
        <w:t>Discussion on UE Feature List</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6614B372" w:rsidR="00342E02" w:rsidRPr="00342E02" w:rsidRDefault="00E90E49" w:rsidP="00342E02">
      <w:pPr>
        <w:pStyle w:val="Heading1"/>
      </w:pPr>
      <w:r w:rsidRPr="00315C6E">
        <w:t>Introduction</w:t>
      </w:r>
    </w:p>
    <w:p w14:paraId="5FE0539D" w14:textId="75701FF0" w:rsidR="00BE0841" w:rsidRDefault="00DE301C" w:rsidP="00ED4362">
      <w:pPr>
        <w:jc w:val="both"/>
        <w:rPr>
          <w:rFonts w:eastAsia="MS Mincho"/>
          <w:sz w:val="22"/>
          <w:szCs w:val="22"/>
          <w:lang w:eastAsia="ja-JP"/>
        </w:rPr>
      </w:pPr>
      <w:r>
        <w:rPr>
          <w:rFonts w:eastAsia="MS Mincho"/>
          <w:sz w:val="22"/>
          <w:szCs w:val="22"/>
          <w:lang w:eastAsia="ja-JP"/>
        </w:rPr>
        <w:t xml:space="preserve">There has been extensive discussion on RAN1 </w:t>
      </w:r>
      <w:r w:rsidR="00977EA1">
        <w:rPr>
          <w:rFonts w:eastAsia="MS Mincho"/>
          <w:sz w:val="22"/>
          <w:szCs w:val="22"/>
          <w:lang w:eastAsia="ja-JP"/>
        </w:rPr>
        <w:t xml:space="preserve">NR </w:t>
      </w:r>
      <w:r>
        <w:rPr>
          <w:rFonts w:eastAsia="MS Mincho"/>
          <w:sz w:val="22"/>
          <w:szCs w:val="22"/>
          <w:lang w:eastAsia="ja-JP"/>
        </w:rPr>
        <w:t>UE feature list for multiple RAN1 and RAN meetings</w:t>
      </w:r>
      <w:r w:rsidR="00BE0841">
        <w:rPr>
          <w:rFonts w:eastAsia="MS Mincho"/>
          <w:sz w:val="22"/>
          <w:szCs w:val="22"/>
          <w:lang w:eastAsia="ja-JP"/>
        </w:rPr>
        <w:t xml:space="preserve"> in the past</w:t>
      </w:r>
      <w:r>
        <w:rPr>
          <w:rFonts w:eastAsia="MS Mincho"/>
          <w:sz w:val="22"/>
          <w:szCs w:val="22"/>
          <w:lang w:eastAsia="ja-JP"/>
        </w:rPr>
        <w:t xml:space="preserve">. </w:t>
      </w:r>
      <w:r w:rsidR="00C00704">
        <w:rPr>
          <w:rFonts w:eastAsia="MS Mincho"/>
          <w:sz w:val="22"/>
          <w:szCs w:val="22"/>
          <w:lang w:eastAsia="ja-JP"/>
        </w:rPr>
        <w:t xml:space="preserve">The latest RAN1 UE feature list was updated in RAN #80 meeting [1]. </w:t>
      </w:r>
      <w:r w:rsidR="00BE0841">
        <w:rPr>
          <w:rFonts w:eastAsia="MS Mincho"/>
          <w:sz w:val="22"/>
          <w:szCs w:val="22"/>
          <w:lang w:eastAsia="ja-JP"/>
        </w:rPr>
        <w:t xml:space="preserve">While mostly finished, there are still several remaining issues </w:t>
      </w:r>
      <w:r w:rsidR="00977EA1">
        <w:rPr>
          <w:rFonts w:eastAsia="MS Mincho"/>
          <w:sz w:val="22"/>
          <w:szCs w:val="22"/>
          <w:lang w:eastAsia="ja-JP"/>
        </w:rPr>
        <w:t>in UE feature list that need further discussion. UE feature list is very important from produc</w:t>
      </w:r>
      <w:r w:rsidR="009857C7">
        <w:rPr>
          <w:rFonts w:eastAsia="MS Mincho"/>
          <w:sz w:val="22"/>
          <w:szCs w:val="22"/>
          <w:lang w:eastAsia="ja-JP"/>
        </w:rPr>
        <w:t>t</w:t>
      </w:r>
      <w:r w:rsidR="00977EA1">
        <w:rPr>
          <w:rFonts w:eastAsia="MS Mincho"/>
          <w:sz w:val="22"/>
          <w:szCs w:val="22"/>
          <w:lang w:eastAsia="ja-JP"/>
        </w:rPr>
        <w:t xml:space="preserve"> perspective, especially in terms of which feature is mandatory to support.</w:t>
      </w:r>
    </w:p>
    <w:p w14:paraId="78F93F01" w14:textId="77777777" w:rsidR="00977EA1" w:rsidRDefault="00977EA1" w:rsidP="00ED4362">
      <w:pPr>
        <w:jc w:val="both"/>
        <w:rPr>
          <w:rFonts w:eastAsia="MS Mincho"/>
          <w:sz w:val="22"/>
          <w:szCs w:val="22"/>
          <w:lang w:eastAsia="ja-JP"/>
        </w:rPr>
      </w:pPr>
    </w:p>
    <w:p w14:paraId="60308F1D" w14:textId="271BCEFD" w:rsidR="00977EA1" w:rsidRDefault="00977EA1" w:rsidP="00ED4362">
      <w:pPr>
        <w:jc w:val="both"/>
        <w:rPr>
          <w:rFonts w:eastAsia="MS Mincho"/>
          <w:sz w:val="22"/>
          <w:szCs w:val="22"/>
          <w:lang w:eastAsia="ja-JP"/>
        </w:rPr>
      </w:pPr>
      <w:r>
        <w:rPr>
          <w:rFonts w:eastAsia="MS Mincho"/>
          <w:sz w:val="22"/>
          <w:szCs w:val="22"/>
          <w:lang w:eastAsia="ja-JP"/>
        </w:rPr>
        <w:t xml:space="preserve">In this contribution, we provide our view on two features in the NR UE feature list, </w:t>
      </w:r>
    </w:p>
    <w:p w14:paraId="319430F3" w14:textId="77777777" w:rsidR="00BE0841" w:rsidRDefault="00BE0841" w:rsidP="00ED4362">
      <w:pPr>
        <w:jc w:val="both"/>
        <w:rPr>
          <w:rFonts w:eastAsia="MS Mincho"/>
          <w:sz w:val="22"/>
          <w:szCs w:val="22"/>
          <w:lang w:eastAsia="ja-JP"/>
        </w:rPr>
      </w:pPr>
    </w:p>
    <w:p w14:paraId="7444F575" w14:textId="503BA22D" w:rsidR="000E3B59" w:rsidRPr="000E3B59" w:rsidRDefault="000E3B59" w:rsidP="000E3B59">
      <w:pPr>
        <w:pStyle w:val="ListParagraph"/>
        <w:numPr>
          <w:ilvl w:val="0"/>
          <w:numId w:val="34"/>
        </w:numPr>
        <w:jc w:val="both"/>
        <w:rPr>
          <w:rFonts w:ascii="Times New Roman" w:eastAsia="MS Mincho" w:hAnsi="Times New Roman"/>
          <w:lang w:eastAsia="ja-JP"/>
        </w:rPr>
      </w:pPr>
      <w:r w:rsidRPr="000E3B59">
        <w:rPr>
          <w:rFonts w:ascii="Times New Roman" w:eastAsia="MS Mincho" w:hAnsi="Times New Roman"/>
          <w:lang w:eastAsia="ja-JP"/>
        </w:rPr>
        <w:t>Feature 2-20: Beam correspondence</w:t>
      </w:r>
    </w:p>
    <w:p w14:paraId="1D26AD27" w14:textId="66D75FE9" w:rsidR="00BE0841" w:rsidRPr="00D97697" w:rsidRDefault="000E3B59" w:rsidP="00ED4362">
      <w:pPr>
        <w:pStyle w:val="ListParagraph"/>
        <w:numPr>
          <w:ilvl w:val="0"/>
          <w:numId w:val="34"/>
        </w:numPr>
        <w:jc w:val="both"/>
        <w:rPr>
          <w:rFonts w:ascii="Times New Roman" w:eastAsia="MS Mincho" w:hAnsi="Times New Roman"/>
          <w:lang w:eastAsia="ja-JP"/>
        </w:rPr>
      </w:pPr>
      <w:r w:rsidRPr="000E3B59">
        <w:rPr>
          <w:rFonts w:ascii="Times New Roman" w:eastAsia="MS Mincho" w:hAnsi="Times New Roman"/>
          <w:lang w:eastAsia="ja-JP"/>
        </w:rPr>
        <w:t>Feature 2-28: A-CSI-RS beam switching timing</w:t>
      </w:r>
    </w:p>
    <w:p w14:paraId="29245C67" w14:textId="78CFFF0C" w:rsidR="00035672" w:rsidRPr="00035672" w:rsidRDefault="00035672" w:rsidP="00035672">
      <w:pPr>
        <w:pStyle w:val="Heading1"/>
      </w:pPr>
      <w:r w:rsidRPr="00035672">
        <w:t>Feature 2-20: Beam correspondence</w:t>
      </w:r>
    </w:p>
    <w:p w14:paraId="2BB65987" w14:textId="56B6AA36" w:rsidR="004207EE" w:rsidRDefault="004207EE" w:rsidP="004A311F">
      <w:pPr>
        <w:rPr>
          <w:sz w:val="22"/>
        </w:rPr>
      </w:pPr>
      <w:r>
        <w:rPr>
          <w:sz w:val="22"/>
        </w:rPr>
        <w:t>Below is the latest agreement on feature 2-20</w:t>
      </w:r>
      <w:r w:rsidR="00975F00">
        <w:rPr>
          <w:sz w:val="22"/>
        </w:rPr>
        <w:t xml:space="preserve"> [1]</w:t>
      </w:r>
    </w:p>
    <w:p w14:paraId="37CF777D" w14:textId="77777777" w:rsidR="004207EE" w:rsidRDefault="004207EE" w:rsidP="004A311F">
      <w:pPr>
        <w:rPr>
          <w:sz w:val="22"/>
        </w:rPr>
      </w:pPr>
    </w:p>
    <w:p w14:paraId="2AE7F3D0" w14:textId="77777777" w:rsidR="00AA16A7" w:rsidRDefault="00AA16A7" w:rsidP="004A311F">
      <w:pPr>
        <w:rPr>
          <w:sz w:val="22"/>
        </w:rPr>
      </w:pPr>
    </w:p>
    <w:p w14:paraId="1F8131CE" w14:textId="77777777" w:rsidR="00AA16A7" w:rsidRDefault="00AA16A7" w:rsidP="004A311F">
      <w:pPr>
        <w:rPr>
          <w:sz w:val="22"/>
        </w:rPr>
      </w:pPr>
    </w:p>
    <w:p w14:paraId="3A606B00" w14:textId="77777777" w:rsidR="00AA16A7" w:rsidRDefault="00AA16A7" w:rsidP="004A311F">
      <w:pPr>
        <w:rPr>
          <w:sz w:val="22"/>
        </w:rPr>
      </w:pPr>
    </w:p>
    <w:p w14:paraId="1FF5BD90" w14:textId="77777777" w:rsidR="00AA16A7" w:rsidRDefault="00AA16A7" w:rsidP="004A311F">
      <w:pPr>
        <w:rPr>
          <w:sz w:val="22"/>
        </w:rPr>
      </w:pPr>
    </w:p>
    <w:p w14:paraId="2D27D99E" w14:textId="77777777" w:rsidR="004207EE" w:rsidRDefault="004207EE" w:rsidP="004A311F">
      <w:pP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19"/>
        <w:gridCol w:w="629"/>
        <w:gridCol w:w="1350"/>
        <w:gridCol w:w="1350"/>
        <w:gridCol w:w="1081"/>
        <w:gridCol w:w="1440"/>
        <w:gridCol w:w="1350"/>
        <w:gridCol w:w="721"/>
        <w:gridCol w:w="759"/>
        <w:gridCol w:w="771"/>
        <w:gridCol w:w="629"/>
        <w:gridCol w:w="1043"/>
        <w:gridCol w:w="768"/>
        <w:gridCol w:w="1014"/>
        <w:gridCol w:w="762"/>
      </w:tblGrid>
      <w:tr w:rsidR="006E7F4F" w:rsidRPr="00AE57B5" w14:paraId="4C4DE494" w14:textId="77777777" w:rsidTr="006E7F4F">
        <w:trPr>
          <w:trHeight w:val="1800"/>
        </w:trPr>
        <w:tc>
          <w:tcPr>
            <w:tcW w:w="283" w:type="pct"/>
            <w:tcBorders>
              <w:bottom w:val="single" w:sz="4" w:space="0" w:color="auto"/>
            </w:tcBorders>
            <w:shd w:val="clear" w:color="000000" w:fill="99CCFF"/>
            <w:vAlign w:val="center"/>
            <w:hideMark/>
          </w:tcPr>
          <w:p w14:paraId="0457A1F6"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lastRenderedPageBreak/>
              <w:t>Features</w:t>
            </w:r>
          </w:p>
        </w:tc>
        <w:tc>
          <w:tcPr>
            <w:tcW w:w="217" w:type="pct"/>
            <w:tcBorders>
              <w:bottom w:val="single" w:sz="4" w:space="0" w:color="auto"/>
            </w:tcBorders>
            <w:shd w:val="clear" w:color="000000" w:fill="99CCFF"/>
            <w:vAlign w:val="center"/>
            <w:hideMark/>
          </w:tcPr>
          <w:p w14:paraId="30ED1975"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w:t>
            </w:r>
          </w:p>
        </w:tc>
        <w:tc>
          <w:tcPr>
            <w:tcW w:w="466" w:type="pct"/>
            <w:tcBorders>
              <w:bottom w:val="single" w:sz="4" w:space="0" w:color="auto"/>
            </w:tcBorders>
            <w:shd w:val="clear" w:color="000000" w:fill="99CCFF"/>
            <w:vAlign w:val="center"/>
            <w:hideMark/>
          </w:tcPr>
          <w:p w14:paraId="12F67519"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Feature group</w:t>
            </w:r>
          </w:p>
        </w:tc>
        <w:tc>
          <w:tcPr>
            <w:tcW w:w="466" w:type="pct"/>
            <w:tcBorders>
              <w:bottom w:val="single" w:sz="4" w:space="0" w:color="auto"/>
            </w:tcBorders>
            <w:shd w:val="clear" w:color="000000" w:fill="99CCFF"/>
            <w:vAlign w:val="center"/>
            <w:hideMark/>
          </w:tcPr>
          <w:p w14:paraId="13F70086"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Components</w:t>
            </w:r>
          </w:p>
        </w:tc>
        <w:tc>
          <w:tcPr>
            <w:tcW w:w="373" w:type="pct"/>
            <w:tcBorders>
              <w:bottom w:val="single" w:sz="4" w:space="0" w:color="auto"/>
            </w:tcBorders>
            <w:shd w:val="clear" w:color="000000" w:fill="99CCFF"/>
            <w:vAlign w:val="center"/>
            <w:hideMark/>
          </w:tcPr>
          <w:p w14:paraId="05DBD040"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 xml:space="preserve">Prerequisite feature groups </w:t>
            </w:r>
            <w:r w:rsidRPr="00AE57B5">
              <w:rPr>
                <w:rFonts w:ascii="Arial" w:eastAsia="MS PGothic" w:hAnsi="Arial" w:cs="Arial"/>
                <w:sz w:val="15"/>
                <w:szCs w:val="15"/>
              </w:rPr>
              <w:br/>
              <w:t>(listed in this sheet only)</w:t>
            </w:r>
          </w:p>
        </w:tc>
        <w:tc>
          <w:tcPr>
            <w:tcW w:w="497" w:type="pct"/>
            <w:tcBorders>
              <w:bottom w:val="single" w:sz="4" w:space="0" w:color="auto"/>
            </w:tcBorders>
            <w:shd w:val="clear" w:color="000000" w:fill="99CCFF"/>
            <w:vAlign w:val="center"/>
            <w:hideMark/>
          </w:tcPr>
          <w:p w14:paraId="5CD0EA3C"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Need for g</w:t>
            </w:r>
            <w:r w:rsidRPr="00AE57B5">
              <w:rPr>
                <w:rFonts w:ascii="Calibri" w:eastAsia="MS PGothic" w:hAnsi="Calibri" w:cs="Arial"/>
                <w:sz w:val="15"/>
                <w:szCs w:val="15"/>
              </w:rPr>
              <w:t>NB to know whether the</w:t>
            </w:r>
            <w:r w:rsidRPr="00AE57B5">
              <w:rPr>
                <w:rFonts w:ascii="Calibri" w:eastAsia="MS PGothic" w:hAnsi="Calibri" w:cs="Arial"/>
                <w:sz w:val="15"/>
                <w:szCs w:val="15"/>
              </w:rPr>
              <w:br/>
              <w:t>feature is supported by the UE</w:t>
            </w:r>
            <w:r w:rsidRPr="00AE57B5">
              <w:rPr>
                <w:rFonts w:ascii="Calibri" w:eastAsia="MS PGothic" w:hAnsi="Calibri" w:cs="Arial"/>
                <w:sz w:val="15"/>
                <w:szCs w:val="15"/>
              </w:rPr>
              <w:br/>
              <w:t>(what happens if gNB does not know?)</w:t>
            </w:r>
          </w:p>
        </w:tc>
        <w:tc>
          <w:tcPr>
            <w:tcW w:w="466" w:type="pct"/>
            <w:tcBorders>
              <w:bottom w:val="single" w:sz="4" w:space="0" w:color="auto"/>
            </w:tcBorders>
            <w:shd w:val="clear" w:color="auto" w:fill="99CCFF"/>
            <w:vAlign w:val="center"/>
            <w:hideMark/>
          </w:tcPr>
          <w:p w14:paraId="55B6E878"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Consequences if the feature</w:t>
            </w:r>
            <w:r w:rsidRPr="00AE57B5">
              <w:rPr>
                <w:rFonts w:ascii="Arial" w:eastAsia="MS PGothic" w:hAnsi="Arial" w:cs="Arial"/>
                <w:sz w:val="15"/>
                <w:szCs w:val="15"/>
              </w:rPr>
              <w:br/>
              <w:t xml:space="preserve"> is not supported by the UE</w:t>
            </w:r>
          </w:p>
        </w:tc>
        <w:tc>
          <w:tcPr>
            <w:tcW w:w="249" w:type="pct"/>
            <w:tcBorders>
              <w:bottom w:val="single" w:sz="4" w:space="0" w:color="auto"/>
            </w:tcBorders>
            <w:shd w:val="clear" w:color="auto" w:fill="99CCFF"/>
            <w:vAlign w:val="center"/>
            <w:hideMark/>
          </w:tcPr>
          <w:p w14:paraId="65013A47"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Type (see R2-1712078)</w:t>
            </w:r>
          </w:p>
        </w:tc>
        <w:tc>
          <w:tcPr>
            <w:tcW w:w="262" w:type="pct"/>
            <w:tcBorders>
              <w:bottom w:val="single" w:sz="4" w:space="0" w:color="auto"/>
            </w:tcBorders>
            <w:shd w:val="clear" w:color="auto" w:fill="99CCFF"/>
            <w:vAlign w:val="center"/>
            <w:hideMark/>
          </w:tcPr>
          <w:p w14:paraId="7B25AB34"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Need of FDD/TDD differentiation</w:t>
            </w:r>
          </w:p>
        </w:tc>
        <w:tc>
          <w:tcPr>
            <w:tcW w:w="266" w:type="pct"/>
            <w:tcBorders>
              <w:bottom w:val="single" w:sz="4" w:space="0" w:color="auto"/>
            </w:tcBorders>
            <w:shd w:val="clear" w:color="auto" w:fill="99CCFF"/>
            <w:vAlign w:val="center"/>
          </w:tcPr>
          <w:p w14:paraId="6F25DBEE"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Need of FR1/FR2 differentiation</w:t>
            </w:r>
          </w:p>
        </w:tc>
        <w:tc>
          <w:tcPr>
            <w:tcW w:w="217" w:type="pct"/>
            <w:tcBorders>
              <w:bottom w:val="single" w:sz="4" w:space="0" w:color="auto"/>
            </w:tcBorders>
            <w:shd w:val="clear" w:color="auto" w:fill="99CCFF"/>
            <w:vAlign w:val="center"/>
            <w:hideMark/>
          </w:tcPr>
          <w:p w14:paraId="1A7324FC"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RAN5 implication</w:t>
            </w:r>
          </w:p>
        </w:tc>
        <w:tc>
          <w:tcPr>
            <w:tcW w:w="360" w:type="pct"/>
            <w:tcBorders>
              <w:bottom w:val="single" w:sz="4" w:space="0" w:color="auto"/>
            </w:tcBorders>
            <w:shd w:val="clear" w:color="000000" w:fill="99CCFF"/>
            <w:vAlign w:val="center"/>
            <w:hideMark/>
          </w:tcPr>
          <w:p w14:paraId="4E5EA433"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Note</w:t>
            </w:r>
          </w:p>
        </w:tc>
        <w:tc>
          <w:tcPr>
            <w:tcW w:w="265" w:type="pct"/>
            <w:tcBorders>
              <w:bottom w:val="single" w:sz="4" w:space="0" w:color="auto"/>
            </w:tcBorders>
            <w:shd w:val="clear" w:color="000000" w:fill="99CCFF"/>
            <w:vAlign w:val="center"/>
            <w:hideMark/>
          </w:tcPr>
          <w:p w14:paraId="1FCE0B66"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Responsible WG</w:t>
            </w:r>
          </w:p>
        </w:tc>
        <w:tc>
          <w:tcPr>
            <w:tcW w:w="350" w:type="pct"/>
            <w:tcBorders>
              <w:bottom w:val="single" w:sz="4" w:space="0" w:color="auto"/>
            </w:tcBorders>
            <w:shd w:val="clear" w:color="000000" w:fill="BFBFBF"/>
            <w:vAlign w:val="center"/>
            <w:hideMark/>
          </w:tcPr>
          <w:p w14:paraId="3E981DD9"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RAN WG recommendation</w:t>
            </w:r>
          </w:p>
        </w:tc>
        <w:tc>
          <w:tcPr>
            <w:tcW w:w="263" w:type="pct"/>
            <w:tcBorders>
              <w:bottom w:val="single" w:sz="4" w:space="0" w:color="auto"/>
            </w:tcBorders>
            <w:shd w:val="clear" w:color="000000" w:fill="FFC000"/>
            <w:vAlign w:val="center"/>
            <w:hideMark/>
          </w:tcPr>
          <w:p w14:paraId="6CBDE6D8" w14:textId="77777777" w:rsidR="00AC514F" w:rsidRPr="00AE57B5" w:rsidRDefault="00AC514F" w:rsidP="005E7D73">
            <w:pPr>
              <w:snapToGrid w:val="0"/>
              <w:jc w:val="center"/>
              <w:rPr>
                <w:rFonts w:ascii="Arial" w:eastAsia="MS PGothic" w:hAnsi="Arial" w:cs="Arial"/>
                <w:b/>
                <w:bCs/>
                <w:sz w:val="15"/>
                <w:szCs w:val="15"/>
              </w:rPr>
            </w:pPr>
            <w:r w:rsidRPr="00AE57B5">
              <w:rPr>
                <w:rFonts w:ascii="Arial" w:eastAsia="MS PGothic" w:hAnsi="Arial" w:cs="Arial"/>
                <w:b/>
                <w:bCs/>
                <w:sz w:val="15"/>
                <w:szCs w:val="15"/>
              </w:rPr>
              <w:t>TSG-RAN decision</w:t>
            </w:r>
          </w:p>
        </w:tc>
      </w:tr>
      <w:tr w:rsidR="006E7F4F" w:rsidRPr="00AE57B5" w14:paraId="1905A8C2" w14:textId="77777777" w:rsidTr="006E7F4F">
        <w:trPr>
          <w:trHeight w:val="180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7B88D" w14:textId="77777777" w:rsidR="00AC514F" w:rsidRPr="00AE57B5" w:rsidRDefault="00AC514F" w:rsidP="00AC514F">
            <w:pPr>
              <w:snapToGrid w:val="0"/>
              <w:jc w:val="center"/>
              <w:rPr>
                <w:rFonts w:ascii="Arial" w:eastAsia="MS PGothic" w:hAnsi="Arial" w:cs="Arial"/>
                <w:sz w:val="15"/>
                <w:szCs w:val="15"/>
              </w:rPr>
            </w:pP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BFC49A" w14:textId="77777777" w:rsidR="00AC514F" w:rsidRPr="00AE57B5" w:rsidRDefault="00AC514F" w:rsidP="00AC514F">
            <w:pPr>
              <w:snapToGrid w:val="0"/>
              <w:jc w:val="center"/>
              <w:rPr>
                <w:rFonts w:ascii="Arial" w:eastAsia="MS PGothic" w:hAnsi="Arial" w:cs="Arial"/>
                <w:sz w:val="15"/>
                <w:szCs w:val="15"/>
              </w:rPr>
            </w:pPr>
            <w:r w:rsidRPr="00AE57B5">
              <w:rPr>
                <w:rFonts w:ascii="Arial" w:eastAsia="MS PGothic" w:hAnsi="Arial" w:cs="Arial"/>
                <w:sz w:val="15"/>
                <w:szCs w:val="15"/>
              </w:rPr>
              <w:t>2-20</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E61772" w14:textId="77777777" w:rsidR="00AC514F" w:rsidRPr="00AE57B5" w:rsidRDefault="00AC514F" w:rsidP="00AC514F">
            <w:pPr>
              <w:snapToGrid w:val="0"/>
              <w:jc w:val="center"/>
              <w:rPr>
                <w:rFonts w:ascii="Arial" w:eastAsia="MS PGothic" w:hAnsi="Arial" w:cs="Arial"/>
                <w:sz w:val="15"/>
                <w:szCs w:val="15"/>
              </w:rPr>
            </w:pPr>
            <w:r w:rsidRPr="00AE57B5">
              <w:rPr>
                <w:rFonts w:ascii="Arial" w:eastAsia="MS PGothic" w:hAnsi="Arial" w:cs="Arial"/>
                <w:sz w:val="15"/>
                <w:szCs w:val="15"/>
              </w:rPr>
              <w:t>Beam correspondence</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1E3F8A" w14:textId="77777777" w:rsidR="00AC514F" w:rsidRPr="00AE57B5" w:rsidRDefault="00AC514F" w:rsidP="00AC514F">
            <w:pPr>
              <w:snapToGrid w:val="0"/>
              <w:jc w:val="center"/>
              <w:rPr>
                <w:rFonts w:ascii="Arial" w:eastAsia="MS PGothic" w:hAnsi="Arial" w:cs="Arial"/>
                <w:sz w:val="15"/>
                <w:szCs w:val="15"/>
              </w:rPr>
            </w:pPr>
            <w:r w:rsidRPr="00AE57B5">
              <w:rPr>
                <w:rFonts w:ascii="Arial" w:eastAsia="MS PGothic" w:hAnsi="Arial" w:cs="Arial"/>
                <w:sz w:val="15"/>
                <w:szCs w:val="15"/>
              </w:rPr>
              <w:t>1. Support Beam correspondence</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863C7" w14:textId="77777777" w:rsidR="00AC514F" w:rsidRPr="00AE57B5" w:rsidRDefault="00AC514F" w:rsidP="00AC514F">
            <w:pPr>
              <w:snapToGrid w:val="0"/>
              <w:jc w:val="center"/>
              <w:rPr>
                <w:rFonts w:ascii="Arial" w:eastAsia="MS PGothic" w:hAnsi="Arial" w:cs="Arial"/>
                <w:sz w:val="15"/>
                <w:szCs w:val="15"/>
              </w:rPr>
            </w:pPr>
            <w:r w:rsidRPr="00AE57B5">
              <w:rPr>
                <w:rFonts w:ascii="Arial" w:eastAsia="MS PGothic" w:hAnsi="Arial" w:cs="Arial"/>
                <w:sz w:val="15"/>
                <w:szCs w:val="15"/>
              </w:rPr>
              <w:t> </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8B08C" w14:textId="77777777" w:rsidR="00AC514F" w:rsidRPr="00AE57B5" w:rsidRDefault="00AC514F" w:rsidP="00AC514F">
            <w:pPr>
              <w:snapToGrid w:val="0"/>
              <w:jc w:val="center"/>
              <w:rPr>
                <w:rFonts w:ascii="Arial" w:eastAsia="MS PGothic" w:hAnsi="Arial" w:cs="Arial"/>
                <w:sz w:val="15"/>
                <w:szCs w:val="15"/>
              </w:rPr>
            </w:pPr>
            <w:r w:rsidRPr="00AE57B5">
              <w:rPr>
                <w:rFonts w:ascii="Arial" w:eastAsia="MS PGothic" w:hAnsi="Arial" w:cs="Arial"/>
                <w:sz w:val="15"/>
                <w:szCs w:val="15"/>
              </w:rPr>
              <w:t>Yes</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9AA05" w14:textId="77777777" w:rsidR="00AC514F" w:rsidRPr="00AE57B5" w:rsidRDefault="00AC514F" w:rsidP="00AC514F">
            <w:pPr>
              <w:snapToGrid w:val="0"/>
              <w:jc w:val="center"/>
              <w:rPr>
                <w:rFonts w:ascii="Arial" w:eastAsia="MS PGothic" w:hAnsi="Arial" w:cs="Arial"/>
                <w:sz w:val="15"/>
                <w:szCs w:val="15"/>
              </w:rPr>
            </w:pPr>
            <w:r w:rsidRPr="00AE57B5">
              <w:rPr>
                <w:rFonts w:ascii="Arial" w:eastAsia="MS PGothic" w:hAnsi="Arial" w:cs="Arial"/>
                <w:sz w:val="15"/>
                <w:szCs w:val="15"/>
              </w:rPr>
              <w:t>Beam correspondence is not supported</w:t>
            </w:r>
          </w:p>
        </w:tc>
        <w:tc>
          <w:tcPr>
            <w:tcW w:w="2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BC86BD" w14:textId="77777777" w:rsidR="00AC514F" w:rsidRPr="00AE57B5" w:rsidRDefault="00AC514F" w:rsidP="00AC514F">
            <w:pPr>
              <w:snapToGrid w:val="0"/>
              <w:jc w:val="center"/>
              <w:rPr>
                <w:rFonts w:ascii="Arial" w:eastAsia="MS PGothic" w:hAnsi="Arial" w:cs="Arial"/>
                <w:sz w:val="15"/>
                <w:szCs w:val="15"/>
              </w:rPr>
            </w:pPr>
            <w:r w:rsidRPr="00AE57B5">
              <w:rPr>
                <w:rFonts w:ascii="Arial" w:eastAsia="MS PGothic" w:hAnsi="Arial" w:cs="Arial"/>
                <w:sz w:val="15"/>
                <w:szCs w:val="15"/>
              </w:rPr>
              <w:t>Type 1</w:t>
            </w: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89E37D"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No need</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0EE922A8" w14:textId="77777777" w:rsidR="00AC514F" w:rsidRPr="00AE57B5" w:rsidRDefault="00AC514F" w:rsidP="005E7D73">
            <w:pPr>
              <w:snapToGrid w:val="0"/>
              <w:jc w:val="center"/>
              <w:rPr>
                <w:rFonts w:ascii="Arial" w:eastAsia="MS PGothic" w:hAnsi="Arial" w:cs="Arial"/>
                <w:sz w:val="15"/>
                <w:szCs w:val="15"/>
              </w:rPr>
            </w:pPr>
            <w:r w:rsidRPr="00AE57B5">
              <w:rPr>
                <w:rFonts w:ascii="Arial" w:eastAsia="MS PGothic" w:hAnsi="Arial" w:cs="Arial"/>
                <w:sz w:val="15"/>
                <w:szCs w:val="15"/>
              </w:rPr>
              <w:t>N.A.</w:t>
            </w:r>
          </w:p>
        </w:tc>
        <w:tc>
          <w:tcPr>
            <w:tcW w:w="2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E33E41" w14:textId="77777777" w:rsidR="00AC514F" w:rsidRPr="00AE57B5" w:rsidRDefault="00AC514F" w:rsidP="00AC514F">
            <w:pPr>
              <w:snapToGrid w:val="0"/>
              <w:jc w:val="center"/>
              <w:rPr>
                <w:rFonts w:ascii="Arial" w:eastAsia="MS PGothic" w:hAnsi="Arial" w:cs="Arial"/>
                <w:sz w:val="15"/>
                <w:szCs w:val="15"/>
              </w:rPr>
            </w:pP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8186F" w14:textId="77777777" w:rsidR="00AC514F" w:rsidRPr="00AE57B5" w:rsidRDefault="00AC514F" w:rsidP="00AC514F">
            <w:pPr>
              <w:snapToGrid w:val="0"/>
              <w:jc w:val="center"/>
              <w:rPr>
                <w:rFonts w:ascii="Arial" w:eastAsia="MS PGothic" w:hAnsi="Arial" w:cs="Arial"/>
                <w:sz w:val="15"/>
                <w:szCs w:val="15"/>
              </w:rPr>
            </w:pPr>
            <w:r w:rsidRPr="00AE57B5">
              <w:rPr>
                <w:rFonts w:ascii="Arial" w:eastAsia="MS PGothic" w:hAnsi="Arial" w:cs="Arial"/>
                <w:sz w:val="15"/>
                <w:szCs w:val="15"/>
              </w:rPr>
              <w:t>Note: Beam correspondence means each Tx port can be beamformed in a desirable direction but does not imply setting phase across ports</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E257B" w14:textId="77777777" w:rsidR="00AC514F" w:rsidRPr="00AE57B5" w:rsidRDefault="00AC514F" w:rsidP="00AC514F">
            <w:pPr>
              <w:snapToGrid w:val="0"/>
              <w:jc w:val="center"/>
              <w:rPr>
                <w:rFonts w:ascii="Arial" w:eastAsia="MS PGothic" w:hAnsi="Arial" w:cs="Arial"/>
                <w:sz w:val="15"/>
                <w:szCs w:val="15"/>
              </w:rPr>
            </w:pP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609A46" w14:textId="77777777" w:rsidR="00AC514F" w:rsidRPr="00AE57B5" w:rsidRDefault="00AC514F" w:rsidP="00AC514F">
            <w:pPr>
              <w:snapToGrid w:val="0"/>
              <w:jc w:val="center"/>
              <w:rPr>
                <w:rFonts w:ascii="Arial" w:eastAsia="MS PGothic" w:hAnsi="Arial" w:cs="Arial"/>
                <w:sz w:val="15"/>
                <w:szCs w:val="15"/>
              </w:rPr>
            </w:pPr>
            <w:r w:rsidRPr="00AE57B5">
              <w:rPr>
                <w:rFonts w:ascii="Arial" w:eastAsia="MS PGothic" w:hAnsi="Arial" w:cs="Arial"/>
                <w:sz w:val="15"/>
                <w:szCs w:val="15"/>
              </w:rPr>
              <w:t xml:space="preserve">[Mandatory at least for FR2] </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0B7147" w14:textId="77777777" w:rsidR="00AC514F" w:rsidRPr="00AE57B5" w:rsidRDefault="00AC514F" w:rsidP="00AC514F">
            <w:pPr>
              <w:snapToGrid w:val="0"/>
              <w:jc w:val="center"/>
              <w:rPr>
                <w:rFonts w:ascii="Arial" w:eastAsia="MS PGothic" w:hAnsi="Arial" w:cs="Arial"/>
                <w:b/>
                <w:bCs/>
                <w:sz w:val="15"/>
                <w:szCs w:val="15"/>
              </w:rPr>
            </w:pPr>
          </w:p>
        </w:tc>
      </w:tr>
    </w:tbl>
    <w:p w14:paraId="6CD448C1" w14:textId="77777777" w:rsidR="004207EE" w:rsidRDefault="004207EE" w:rsidP="004A311F">
      <w:pPr>
        <w:rPr>
          <w:sz w:val="22"/>
        </w:rPr>
      </w:pPr>
    </w:p>
    <w:p w14:paraId="26F80375" w14:textId="77777777" w:rsidR="004207EE" w:rsidRDefault="004207EE" w:rsidP="004A311F">
      <w:pPr>
        <w:rPr>
          <w:sz w:val="22"/>
        </w:rPr>
      </w:pPr>
    </w:p>
    <w:p w14:paraId="3D266C77" w14:textId="514DFA65" w:rsidR="00542899" w:rsidRDefault="007D59FE" w:rsidP="004A311F">
      <w:pPr>
        <w:rPr>
          <w:sz w:val="22"/>
        </w:rPr>
      </w:pPr>
      <w:r>
        <w:rPr>
          <w:sz w:val="22"/>
        </w:rPr>
        <w:t>Beam correspondence is important to ensu</w:t>
      </w:r>
      <w:r w:rsidR="00542899">
        <w:rPr>
          <w:sz w:val="22"/>
        </w:rPr>
        <w:t>r</w:t>
      </w:r>
      <w:r>
        <w:rPr>
          <w:sz w:val="22"/>
        </w:rPr>
        <w:t xml:space="preserve">e the DL and UL channel reciprocity. Apart from the physical radio channel between Tx and Rx physical antenna pair, beam correspondence </w:t>
      </w:r>
      <w:r w:rsidR="00542899">
        <w:rPr>
          <w:sz w:val="22"/>
        </w:rPr>
        <w:t xml:space="preserve">ensures that Tx beam and Rx beam are the “same”, or in other words, UE/gNB can determine its Tx/Rx beam based on the Rx/Tx beam </w:t>
      </w:r>
      <w:r w:rsidR="00530B45">
        <w:rPr>
          <w:sz w:val="22"/>
        </w:rPr>
        <w:t>measurement</w:t>
      </w:r>
      <w:r w:rsidR="00207780">
        <w:rPr>
          <w:sz w:val="22"/>
        </w:rPr>
        <w:t xml:space="preserve"> </w:t>
      </w:r>
      <w:r w:rsidR="00542899">
        <w:rPr>
          <w:sz w:val="22"/>
        </w:rPr>
        <w:t>in the opposite direction.</w:t>
      </w:r>
      <w:r w:rsidR="004E4AC9">
        <w:rPr>
          <w:sz w:val="22"/>
        </w:rPr>
        <w:t xml:space="preserve"> </w:t>
      </w:r>
    </w:p>
    <w:p w14:paraId="0A707E38" w14:textId="77777777" w:rsidR="004E4AC9" w:rsidRDefault="004E4AC9" w:rsidP="004A311F">
      <w:pPr>
        <w:rPr>
          <w:sz w:val="22"/>
        </w:rPr>
      </w:pPr>
    </w:p>
    <w:p w14:paraId="2FCA5BDA" w14:textId="28700050" w:rsidR="004E4AC9" w:rsidRDefault="004E4AC9" w:rsidP="004A311F">
      <w:pPr>
        <w:rPr>
          <w:sz w:val="22"/>
        </w:rPr>
      </w:pPr>
      <w:r>
        <w:rPr>
          <w:sz w:val="22"/>
        </w:rPr>
        <w:t>Beam correspondence allows the system to operate more efficiently and improves UE performance. For example, a UE</w:t>
      </w:r>
      <w:r w:rsidR="00356FE7">
        <w:rPr>
          <w:sz w:val="22"/>
        </w:rPr>
        <w:t xml:space="preserve"> wh</w:t>
      </w:r>
      <w:r>
        <w:rPr>
          <w:sz w:val="22"/>
        </w:rPr>
        <w:t>o has beam correspondence, can determine its UL transmit beam based on the DL SSB measurement during initial access, and perform the RACH procedure without the need of UL beam sweep which reduces the initial access latency</w:t>
      </w:r>
      <w:r w:rsidR="00996D62">
        <w:rPr>
          <w:sz w:val="22"/>
        </w:rPr>
        <w:t xml:space="preserve"> and improve the system efficiency</w:t>
      </w:r>
      <w:r>
        <w:rPr>
          <w:sz w:val="22"/>
        </w:rPr>
        <w:t xml:space="preserve">. For FR1, beam correspondence also allows more efficient DL massive MIMO </w:t>
      </w:r>
      <w:r w:rsidR="00BC1D4A">
        <w:rPr>
          <w:sz w:val="22"/>
        </w:rPr>
        <w:t>operation</w:t>
      </w:r>
      <w:r>
        <w:rPr>
          <w:sz w:val="22"/>
        </w:rPr>
        <w:t xml:space="preserve">, especially in the TDD system. For DL massive MIMO system, there are typically more DL Tx antennas at gNB side than the Rx antenna at the UE side. Therefore, it is more </w:t>
      </w:r>
      <w:r w:rsidR="00BC1D4A">
        <w:rPr>
          <w:sz w:val="22"/>
        </w:rPr>
        <w:t xml:space="preserve">complicated </w:t>
      </w:r>
      <w:r>
        <w:rPr>
          <w:sz w:val="22"/>
        </w:rPr>
        <w:t>and resource consuming to sound DL channel than to sound UL channel. When beam correspondence exists, gNB can obtain the DL channel based on the UL sounding</w:t>
      </w:r>
      <w:r w:rsidR="00FB4A15">
        <w:rPr>
          <w:sz w:val="22"/>
        </w:rPr>
        <w:t>/</w:t>
      </w:r>
      <w:r w:rsidR="000A4455">
        <w:rPr>
          <w:sz w:val="22"/>
        </w:rPr>
        <w:t>measurement</w:t>
      </w:r>
      <w:r>
        <w:rPr>
          <w:sz w:val="22"/>
        </w:rPr>
        <w:t xml:space="preserve"> which can improve the DL massive MIMO performance. For FR2, UE beam correspondence reduces the complexity of beam management. Instead of operat</w:t>
      </w:r>
      <w:r w:rsidR="00E85F0B">
        <w:rPr>
          <w:sz w:val="22"/>
        </w:rPr>
        <w:t>ing</w:t>
      </w:r>
      <w:r w:rsidR="00655FC0">
        <w:rPr>
          <w:sz w:val="22"/>
        </w:rPr>
        <w:t xml:space="preserve"> </w:t>
      </w:r>
      <w:r>
        <w:rPr>
          <w:sz w:val="22"/>
        </w:rPr>
        <w:t xml:space="preserve">DL and UL beam tracking independently, </w:t>
      </w:r>
      <w:r w:rsidR="0026301B">
        <w:rPr>
          <w:sz w:val="22"/>
        </w:rPr>
        <w:t xml:space="preserve">with beam correspondence, </w:t>
      </w:r>
      <w:r>
        <w:rPr>
          <w:sz w:val="22"/>
        </w:rPr>
        <w:t>UE can determine its UL Tx beam based on the DL</w:t>
      </w:r>
      <w:r w:rsidR="008C1588">
        <w:rPr>
          <w:sz w:val="22"/>
        </w:rPr>
        <w:t xml:space="preserve"> Rx</w:t>
      </w:r>
      <w:r>
        <w:rPr>
          <w:sz w:val="22"/>
        </w:rPr>
        <w:t xml:space="preserve"> beam management. This reduces the resources that are needed for UL beam management and improves the UE power consumption.</w:t>
      </w:r>
    </w:p>
    <w:p w14:paraId="0D4BE499" w14:textId="77777777" w:rsidR="004E4AC9" w:rsidRDefault="004E4AC9" w:rsidP="004A311F">
      <w:pPr>
        <w:rPr>
          <w:sz w:val="22"/>
        </w:rPr>
      </w:pPr>
    </w:p>
    <w:p w14:paraId="18A6DC79" w14:textId="6A20B713" w:rsidR="004E4AC9" w:rsidRDefault="009411FC" w:rsidP="004A311F">
      <w:pPr>
        <w:rPr>
          <w:sz w:val="22"/>
        </w:rPr>
      </w:pPr>
      <w:r>
        <w:rPr>
          <w:sz w:val="22"/>
        </w:rPr>
        <w:t xml:space="preserve">However, it is </w:t>
      </w:r>
      <w:r w:rsidR="009B7276">
        <w:rPr>
          <w:sz w:val="22"/>
        </w:rPr>
        <w:t>non-</w:t>
      </w:r>
      <w:r w:rsidR="006A6B07">
        <w:rPr>
          <w:sz w:val="22"/>
        </w:rPr>
        <w:t>trivial</w:t>
      </w:r>
      <w:r w:rsidR="009B7276">
        <w:rPr>
          <w:sz w:val="22"/>
        </w:rPr>
        <w:t xml:space="preserve"> </w:t>
      </w:r>
      <w:r w:rsidR="00305473">
        <w:rPr>
          <w:sz w:val="22"/>
        </w:rPr>
        <w:t>t</w:t>
      </w:r>
      <w:r>
        <w:rPr>
          <w:sz w:val="22"/>
        </w:rPr>
        <w:t xml:space="preserve">o achieve </w:t>
      </w:r>
      <w:r w:rsidR="004E4AC9">
        <w:rPr>
          <w:sz w:val="22"/>
        </w:rPr>
        <w:t>be</w:t>
      </w:r>
      <w:r>
        <w:rPr>
          <w:sz w:val="22"/>
        </w:rPr>
        <w:t>a</w:t>
      </w:r>
      <w:r w:rsidR="004E4AC9">
        <w:rPr>
          <w:sz w:val="22"/>
        </w:rPr>
        <w:t>m</w:t>
      </w:r>
      <w:r>
        <w:rPr>
          <w:sz w:val="22"/>
        </w:rPr>
        <w:t xml:space="preserve"> correspondence at the UE side due to mismatches between Tx and Rx signal paths. Extra effort including calibration is needed. It is also expected that, even for UE with beam correspondence, certain level of mismatch between Tx and Rx beam is still allowed. Therefore, it is every critical for RAN4 to finalize the RF requirement for beam correspondence. So far, RAN4 has reached agreement to define beam correspondence based on UE Tx EIRP measurement</w:t>
      </w:r>
      <w:r w:rsidR="00DE631A">
        <w:rPr>
          <w:sz w:val="22"/>
        </w:rPr>
        <w:t xml:space="preserve"> with two </w:t>
      </w:r>
      <w:r w:rsidR="00A952DB">
        <w:rPr>
          <w:sz w:val="22"/>
        </w:rPr>
        <w:t>detailed</w:t>
      </w:r>
      <w:r w:rsidR="00BF05F6">
        <w:rPr>
          <w:sz w:val="22"/>
        </w:rPr>
        <w:t xml:space="preserve"> options</w:t>
      </w:r>
      <w:r w:rsidR="0080573A">
        <w:rPr>
          <w:sz w:val="22"/>
        </w:rPr>
        <w:t xml:space="preserve"> [2]</w:t>
      </w:r>
      <w:r>
        <w:rPr>
          <w:sz w:val="22"/>
        </w:rPr>
        <w:t xml:space="preserve">. </w:t>
      </w:r>
    </w:p>
    <w:p w14:paraId="58E448E0" w14:textId="77777777" w:rsidR="00B17511" w:rsidRDefault="00B17511" w:rsidP="004A311F">
      <w:pPr>
        <w:rPr>
          <w:sz w:val="22"/>
        </w:rPr>
      </w:pPr>
    </w:p>
    <w:p w14:paraId="457C50C4" w14:textId="77777777" w:rsidR="009411FC" w:rsidRDefault="009411FC" w:rsidP="004A311F">
      <w:pPr>
        <w:rPr>
          <w:sz w:val="22"/>
        </w:rPr>
      </w:pPr>
    </w:p>
    <w:tbl>
      <w:tblPr>
        <w:tblStyle w:val="TableGrid"/>
        <w:tblW w:w="0" w:type="auto"/>
        <w:tblLook w:val="04A0" w:firstRow="1" w:lastRow="0" w:firstColumn="1" w:lastColumn="0" w:noHBand="0" w:noVBand="1"/>
      </w:tblPr>
      <w:tblGrid>
        <w:gridCol w:w="14504"/>
      </w:tblGrid>
      <w:tr w:rsidR="009411FC" w14:paraId="00F456B3" w14:textId="77777777" w:rsidTr="009411FC">
        <w:tc>
          <w:tcPr>
            <w:tcW w:w="14504" w:type="dxa"/>
          </w:tcPr>
          <w:p w14:paraId="48B23962" w14:textId="77777777" w:rsidR="003A723A" w:rsidRPr="009411FC" w:rsidRDefault="00A71C1B" w:rsidP="009411FC">
            <w:pPr>
              <w:numPr>
                <w:ilvl w:val="0"/>
                <w:numId w:val="35"/>
              </w:numPr>
              <w:rPr>
                <w:sz w:val="22"/>
              </w:rPr>
            </w:pPr>
            <w:r w:rsidRPr="009411FC">
              <w:rPr>
                <w:sz w:val="22"/>
              </w:rPr>
              <w:lastRenderedPageBreak/>
              <w:t>Beam correspondence requirement should be only based on UE Tx EIRP measurements performed by the TE.</w:t>
            </w:r>
          </w:p>
          <w:p w14:paraId="785052D1" w14:textId="77777777" w:rsidR="003A723A" w:rsidRPr="009411FC" w:rsidRDefault="00A71C1B" w:rsidP="009411FC">
            <w:pPr>
              <w:numPr>
                <w:ilvl w:val="0"/>
                <w:numId w:val="35"/>
              </w:numPr>
              <w:rPr>
                <w:sz w:val="22"/>
              </w:rPr>
            </w:pPr>
            <w:r w:rsidRPr="009411FC">
              <w:rPr>
                <w:sz w:val="22"/>
              </w:rPr>
              <w:t>Beam correspondence requirements definition will be further discussed based on the following two approaches, [other approaches not precluded]:</w:t>
            </w:r>
          </w:p>
          <w:p w14:paraId="3C86238C" w14:textId="77777777" w:rsidR="003A723A" w:rsidRPr="009411FC" w:rsidRDefault="00A71C1B" w:rsidP="009411FC">
            <w:pPr>
              <w:numPr>
                <w:ilvl w:val="1"/>
                <w:numId w:val="35"/>
              </w:numPr>
              <w:rPr>
                <w:sz w:val="22"/>
              </w:rPr>
            </w:pPr>
            <w:r w:rsidRPr="009411FC">
              <w:rPr>
                <w:sz w:val="22"/>
              </w:rPr>
              <w:t>1</w:t>
            </w:r>
            <w:r w:rsidRPr="009411FC">
              <w:rPr>
                <w:sz w:val="22"/>
                <w:vertAlign w:val="superscript"/>
              </w:rPr>
              <w:t>st</w:t>
            </w:r>
            <w:r w:rsidRPr="009411FC">
              <w:rPr>
                <w:sz w:val="22"/>
              </w:rPr>
              <w:t xml:space="preserve"> approach: define the beam correspondence requirement based on an EIRP tolerance between the best Tx beam and the Tx beam selected based on DL measurements. </w:t>
            </w:r>
          </w:p>
          <w:p w14:paraId="010E8303" w14:textId="63C8597E" w:rsidR="003A723A" w:rsidRPr="009411FC" w:rsidRDefault="00A71C1B" w:rsidP="009411FC">
            <w:pPr>
              <w:numPr>
                <w:ilvl w:val="1"/>
                <w:numId w:val="35"/>
              </w:numPr>
              <w:rPr>
                <w:sz w:val="22"/>
              </w:rPr>
            </w:pPr>
            <w:r w:rsidRPr="009411FC">
              <w:rPr>
                <w:sz w:val="22"/>
              </w:rPr>
              <w:t>2</w:t>
            </w:r>
            <w:r w:rsidRPr="009411FC">
              <w:rPr>
                <w:sz w:val="22"/>
                <w:vertAlign w:val="superscript"/>
              </w:rPr>
              <w:t>nd</w:t>
            </w:r>
            <w:r w:rsidRPr="009411FC">
              <w:rPr>
                <w:sz w:val="22"/>
              </w:rPr>
              <w:t xml:space="preserve"> approach: define the beam correspondence requirement based on EIRP CDF requirements. In this case, the correspondence is defined based on passing the EIRP CDF requirements without UL Tx beam sweeping. </w:t>
            </w:r>
          </w:p>
          <w:p w14:paraId="24C4B2B4" w14:textId="77777777" w:rsidR="003A723A" w:rsidRPr="009411FC" w:rsidRDefault="00A71C1B" w:rsidP="009411FC">
            <w:pPr>
              <w:numPr>
                <w:ilvl w:val="1"/>
                <w:numId w:val="35"/>
              </w:numPr>
              <w:rPr>
                <w:sz w:val="22"/>
              </w:rPr>
            </w:pPr>
            <w:r w:rsidRPr="009411FC">
              <w:rPr>
                <w:sz w:val="22"/>
              </w:rPr>
              <w:t>Companies provide their preferred approach at next RAN4 meeting</w:t>
            </w:r>
          </w:p>
          <w:p w14:paraId="2908681A" w14:textId="77777777" w:rsidR="003A723A" w:rsidRPr="009411FC" w:rsidRDefault="00A71C1B" w:rsidP="009411FC">
            <w:pPr>
              <w:numPr>
                <w:ilvl w:val="0"/>
                <w:numId w:val="35"/>
              </w:numPr>
              <w:rPr>
                <w:sz w:val="22"/>
              </w:rPr>
            </w:pPr>
            <w:r w:rsidRPr="009411FC">
              <w:rPr>
                <w:sz w:val="22"/>
              </w:rPr>
              <w:t>RAN4 will define a beam correspondence requirement based on bullets 1, 2</w:t>
            </w:r>
          </w:p>
          <w:p w14:paraId="04350458" w14:textId="0096FACD" w:rsidR="009411FC" w:rsidRPr="009411FC" w:rsidRDefault="00A71C1B" w:rsidP="004A311F">
            <w:pPr>
              <w:numPr>
                <w:ilvl w:val="0"/>
                <w:numId w:val="35"/>
              </w:numPr>
              <w:rPr>
                <w:sz w:val="22"/>
              </w:rPr>
            </w:pPr>
            <w:r w:rsidRPr="009411FC">
              <w:rPr>
                <w:sz w:val="22"/>
              </w:rPr>
              <w:t>RAN4 will decide if beam correspondence RF requirement can be tested simultaneously with other Tx requirements.</w:t>
            </w:r>
          </w:p>
        </w:tc>
      </w:tr>
    </w:tbl>
    <w:p w14:paraId="4D334B37" w14:textId="77777777" w:rsidR="009411FC" w:rsidRDefault="009411FC" w:rsidP="004A311F">
      <w:pPr>
        <w:rPr>
          <w:sz w:val="22"/>
        </w:rPr>
      </w:pPr>
    </w:p>
    <w:p w14:paraId="44C9974A" w14:textId="2E802A8E" w:rsidR="00502276" w:rsidRDefault="00AD2894" w:rsidP="00AD2894">
      <w:r>
        <w:rPr>
          <w:sz w:val="22"/>
        </w:rPr>
        <w:t xml:space="preserve">However, RAN4 has not reached consensus on the exact RF requirement for beam corresponding. It is important to note that RAN4 sets the RF requirement for beam correspondence and, directly, impact the </w:t>
      </w:r>
      <w:r w:rsidR="00467DF2">
        <w:rPr>
          <w:sz w:val="22"/>
        </w:rPr>
        <w:t xml:space="preserve">device implementation </w:t>
      </w:r>
      <w:r w:rsidR="00064085">
        <w:rPr>
          <w:sz w:val="22"/>
        </w:rPr>
        <w:t>and</w:t>
      </w:r>
      <w:r w:rsidR="00467DF2">
        <w:rPr>
          <w:sz w:val="22"/>
        </w:rPr>
        <w:t xml:space="preserve"> the achievability of beam correspondence. It is also important to </w:t>
      </w:r>
      <w:r w:rsidR="000338CF">
        <w:rPr>
          <w:sz w:val="22"/>
        </w:rPr>
        <w:t>consider</w:t>
      </w:r>
      <w:r w:rsidR="00467DF2">
        <w:rPr>
          <w:sz w:val="22"/>
        </w:rPr>
        <w:t xml:space="preserve"> the beam correspondence from system performance</w:t>
      </w:r>
      <w:r w:rsidR="000338CF">
        <w:rPr>
          <w:sz w:val="22"/>
        </w:rPr>
        <w:t xml:space="preserve">, as well as </w:t>
      </w:r>
      <w:r w:rsidR="00467DF2">
        <w:rPr>
          <w:sz w:val="22"/>
        </w:rPr>
        <w:t xml:space="preserve">the actual UE beam selection based on other aspects such as interference level, health </w:t>
      </w:r>
      <w:r w:rsidR="00CD78AE">
        <w:rPr>
          <w:sz w:val="22"/>
        </w:rPr>
        <w:t>regulation/</w:t>
      </w:r>
      <w:r w:rsidR="00467DF2">
        <w:rPr>
          <w:sz w:val="22"/>
        </w:rPr>
        <w:t xml:space="preserve">consideration, etc. Therefore, RAN4 decision on beam correspondence RF requirement strongly impact the </w:t>
      </w:r>
      <w:r>
        <w:rPr>
          <w:sz w:val="22"/>
        </w:rPr>
        <w:t>RAN1 decision on feature 2-20. In our view, RAN1 cannot decide on the “mandatory” or “optional” for feature 2-20 until RAN4 finalize</w:t>
      </w:r>
      <w:r w:rsidR="00FC2C6B">
        <w:rPr>
          <w:sz w:val="22"/>
        </w:rPr>
        <w:t>s</w:t>
      </w:r>
      <w:r>
        <w:rPr>
          <w:sz w:val="22"/>
        </w:rPr>
        <w:t xml:space="preserve"> the exact </w:t>
      </w:r>
      <w:r w:rsidR="00FC2C6B">
        <w:rPr>
          <w:sz w:val="22"/>
        </w:rPr>
        <w:t xml:space="preserve">RF </w:t>
      </w:r>
      <w:r>
        <w:rPr>
          <w:sz w:val="22"/>
        </w:rPr>
        <w:t xml:space="preserve">requirement for beam correspondence. </w:t>
      </w:r>
      <w:r w:rsidR="00AE6E02">
        <w:rPr>
          <w:sz w:val="22"/>
        </w:rPr>
        <w:t>W</w:t>
      </w:r>
      <w:r>
        <w:rPr>
          <w:sz w:val="22"/>
        </w:rPr>
        <w:t>e propose to postpone the decision on feature 2-20 until RAN4 finalize</w:t>
      </w:r>
      <w:r w:rsidR="0026379A">
        <w:rPr>
          <w:sz w:val="22"/>
        </w:rPr>
        <w:t>s the RF requirement</w:t>
      </w:r>
      <w:r w:rsidR="006D7CCE">
        <w:rPr>
          <w:sz w:val="22"/>
        </w:rPr>
        <w:t xml:space="preserve"> for beam correspondence.</w:t>
      </w:r>
      <w:r>
        <w:rPr>
          <w:sz w:val="22"/>
        </w:rPr>
        <w:t xml:space="preserve"> </w:t>
      </w:r>
    </w:p>
    <w:p w14:paraId="0107A40E" w14:textId="77777777" w:rsidR="00231886" w:rsidRDefault="00231886" w:rsidP="00231886">
      <w:pPr>
        <w:rPr>
          <w:rFonts w:eastAsia="SimSun"/>
          <w:b/>
          <w:bCs/>
          <w:i/>
          <w:sz w:val="22"/>
          <w:szCs w:val="22"/>
          <w:u w:val="single"/>
        </w:rPr>
      </w:pPr>
    </w:p>
    <w:p w14:paraId="7C7F5221" w14:textId="2265EC71" w:rsidR="009D267B" w:rsidRPr="00E53448" w:rsidRDefault="0026379A" w:rsidP="00467930">
      <w:pPr>
        <w:rPr>
          <w:rFonts w:eastAsia="SimSun"/>
          <w:b/>
          <w:i/>
          <w:sz w:val="22"/>
          <w:szCs w:val="22"/>
        </w:rPr>
      </w:pPr>
      <w:r>
        <w:rPr>
          <w:rFonts w:eastAsia="SimSun"/>
          <w:b/>
          <w:bCs/>
          <w:i/>
          <w:sz w:val="22"/>
          <w:szCs w:val="22"/>
          <w:u w:val="single"/>
        </w:rPr>
        <w:t>Proposal</w:t>
      </w:r>
      <w:r w:rsidR="00231886" w:rsidRPr="0083483D">
        <w:rPr>
          <w:rFonts w:eastAsia="SimSun"/>
          <w:b/>
          <w:bCs/>
          <w:i/>
          <w:sz w:val="22"/>
          <w:szCs w:val="22"/>
          <w:u w:val="single"/>
        </w:rPr>
        <w:t xml:space="preserve"> </w:t>
      </w:r>
      <w:r w:rsidR="00231886">
        <w:rPr>
          <w:rFonts w:eastAsia="SimSun"/>
          <w:b/>
          <w:bCs/>
          <w:i/>
          <w:sz w:val="22"/>
          <w:szCs w:val="22"/>
          <w:u w:val="single"/>
        </w:rPr>
        <w:t>1</w:t>
      </w:r>
      <w:r w:rsidR="00231886" w:rsidRPr="00CD41CD">
        <w:rPr>
          <w:rFonts w:eastAsia="SimSun"/>
          <w:bCs/>
          <w:i/>
          <w:szCs w:val="22"/>
        </w:rPr>
        <w:t xml:space="preserve">: </w:t>
      </w:r>
      <w:r>
        <w:rPr>
          <w:rFonts w:eastAsia="SimSun"/>
          <w:b/>
          <w:i/>
          <w:sz w:val="22"/>
          <w:szCs w:val="22"/>
        </w:rPr>
        <w:t>F</w:t>
      </w:r>
      <w:r w:rsidR="00DF454B">
        <w:rPr>
          <w:rFonts w:eastAsia="SimSun"/>
          <w:b/>
          <w:i/>
          <w:sz w:val="22"/>
          <w:szCs w:val="22"/>
        </w:rPr>
        <w:t>o</w:t>
      </w:r>
      <w:r>
        <w:rPr>
          <w:rFonts w:eastAsia="SimSun"/>
          <w:b/>
          <w:i/>
          <w:sz w:val="22"/>
          <w:szCs w:val="22"/>
        </w:rPr>
        <w:t xml:space="preserve">r feature 2-20: beam correspondence, RAN1 decides on “mandatory”, “mandatory with capability signalling” or “optional” </w:t>
      </w:r>
      <w:r w:rsidR="000B6DD7">
        <w:rPr>
          <w:rFonts w:eastAsia="SimSun"/>
          <w:b/>
          <w:i/>
          <w:sz w:val="22"/>
          <w:szCs w:val="22"/>
        </w:rPr>
        <w:t xml:space="preserve">after </w:t>
      </w:r>
      <w:r>
        <w:rPr>
          <w:rFonts w:eastAsia="SimSun"/>
          <w:b/>
          <w:i/>
          <w:sz w:val="22"/>
          <w:szCs w:val="22"/>
        </w:rPr>
        <w:t>RAN4 finalizes the RF requirement for beam correspondence.</w:t>
      </w:r>
    </w:p>
    <w:p w14:paraId="1F11A0F6" w14:textId="606B35B8" w:rsidR="0026379A" w:rsidRPr="00035672" w:rsidRDefault="0026379A" w:rsidP="006F0C31">
      <w:pPr>
        <w:pStyle w:val="Heading1"/>
      </w:pPr>
      <w:r w:rsidRPr="00035672">
        <w:t>Feature 2-2</w:t>
      </w:r>
      <w:r w:rsidR="001360D8">
        <w:t>8</w:t>
      </w:r>
      <w:r w:rsidR="006F0C31">
        <w:t xml:space="preserve">: </w:t>
      </w:r>
      <w:r w:rsidR="006F0C31" w:rsidRPr="006F0C31">
        <w:t xml:space="preserve">A-CSI-RS beam switching timing </w:t>
      </w:r>
    </w:p>
    <w:p w14:paraId="0258B7F7" w14:textId="5EF51B31" w:rsidR="0026379A" w:rsidRDefault="0026379A" w:rsidP="0026379A">
      <w:pPr>
        <w:rPr>
          <w:sz w:val="22"/>
        </w:rPr>
      </w:pPr>
      <w:r>
        <w:rPr>
          <w:sz w:val="22"/>
        </w:rPr>
        <w:t>Below is the latest agreement on feature 2-2</w:t>
      </w:r>
      <w:r w:rsidR="006F0C31">
        <w:rPr>
          <w:sz w:val="22"/>
        </w:rPr>
        <w:t>8</w:t>
      </w:r>
      <w:r>
        <w:rPr>
          <w:sz w:val="22"/>
        </w:rPr>
        <w:t xml:space="preserve"> [1]</w:t>
      </w:r>
    </w:p>
    <w:p w14:paraId="209633DB" w14:textId="77777777" w:rsidR="0026379A" w:rsidRDefault="0026379A" w:rsidP="0026379A">
      <w:pPr>
        <w:rPr>
          <w:sz w:val="22"/>
        </w:rPr>
      </w:pPr>
    </w:p>
    <w:p w14:paraId="0BC320DB" w14:textId="77777777" w:rsidR="00467392" w:rsidRDefault="00467392" w:rsidP="0026379A">
      <w:pPr>
        <w:rPr>
          <w:sz w:val="22"/>
        </w:rPr>
      </w:pPr>
    </w:p>
    <w:p w14:paraId="693E6B5B" w14:textId="77777777" w:rsidR="006E7F4F" w:rsidRDefault="006E7F4F" w:rsidP="0026379A">
      <w:pPr>
        <w:rPr>
          <w:sz w:val="22"/>
        </w:rPr>
      </w:pPr>
    </w:p>
    <w:p w14:paraId="1AA96BA3" w14:textId="77777777" w:rsidR="006E7F4F" w:rsidRDefault="006E7F4F" w:rsidP="0026379A">
      <w:pPr>
        <w:rPr>
          <w:sz w:val="22"/>
        </w:rPr>
      </w:pPr>
    </w:p>
    <w:p w14:paraId="7092FD11" w14:textId="77777777" w:rsidR="006E7F4F" w:rsidRDefault="006E7F4F" w:rsidP="0026379A">
      <w:pPr>
        <w:rPr>
          <w:sz w:val="22"/>
        </w:rPr>
      </w:pPr>
    </w:p>
    <w:p w14:paraId="52035F80" w14:textId="77777777" w:rsidR="006E7F4F" w:rsidRDefault="006E7F4F" w:rsidP="0026379A">
      <w:pPr>
        <w:rPr>
          <w:sz w:val="22"/>
        </w:rPr>
      </w:pPr>
    </w:p>
    <w:p w14:paraId="667381BF" w14:textId="77777777" w:rsidR="006E7F4F" w:rsidRDefault="006E7F4F" w:rsidP="0026379A">
      <w:pPr>
        <w:rPr>
          <w:sz w:val="22"/>
        </w:rPr>
      </w:pPr>
    </w:p>
    <w:p w14:paraId="18DBA88C" w14:textId="77777777" w:rsidR="00467392" w:rsidRDefault="00467392" w:rsidP="0026379A">
      <w:pPr>
        <w:rPr>
          <w:sz w:val="22"/>
        </w:rPr>
      </w:pPr>
    </w:p>
    <w:p w14:paraId="3D502A15" w14:textId="77777777" w:rsidR="0026379A" w:rsidRDefault="0026379A" w:rsidP="0026379A">
      <w:pPr>
        <w:rPr>
          <w:sz w:val="22"/>
        </w:rPr>
      </w:pP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20"/>
        <w:gridCol w:w="538"/>
        <w:gridCol w:w="900"/>
        <w:gridCol w:w="1441"/>
        <w:gridCol w:w="629"/>
        <w:gridCol w:w="991"/>
        <w:gridCol w:w="900"/>
        <w:gridCol w:w="629"/>
        <w:gridCol w:w="450"/>
        <w:gridCol w:w="450"/>
        <w:gridCol w:w="991"/>
        <w:gridCol w:w="900"/>
        <w:gridCol w:w="632"/>
        <w:gridCol w:w="3673"/>
        <w:gridCol w:w="759"/>
      </w:tblGrid>
      <w:tr w:rsidR="001012B0" w:rsidRPr="00AE57B5" w14:paraId="348B2834" w14:textId="77777777" w:rsidTr="001012B0">
        <w:trPr>
          <w:trHeight w:val="1800"/>
        </w:trPr>
        <w:tc>
          <w:tcPr>
            <w:tcW w:w="279" w:type="pct"/>
            <w:tcBorders>
              <w:bottom w:val="single" w:sz="4" w:space="0" w:color="auto"/>
            </w:tcBorders>
            <w:shd w:val="clear" w:color="000000" w:fill="99CCFF"/>
            <w:vAlign w:val="center"/>
            <w:hideMark/>
          </w:tcPr>
          <w:p w14:paraId="476B4A16"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lastRenderedPageBreak/>
              <w:t>Features</w:t>
            </w:r>
          </w:p>
        </w:tc>
        <w:tc>
          <w:tcPr>
            <w:tcW w:w="183" w:type="pct"/>
            <w:tcBorders>
              <w:bottom w:val="single" w:sz="4" w:space="0" w:color="auto"/>
            </w:tcBorders>
            <w:shd w:val="clear" w:color="000000" w:fill="99CCFF"/>
            <w:vAlign w:val="center"/>
            <w:hideMark/>
          </w:tcPr>
          <w:p w14:paraId="7A05FB64"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w:t>
            </w:r>
          </w:p>
        </w:tc>
        <w:tc>
          <w:tcPr>
            <w:tcW w:w="306" w:type="pct"/>
            <w:tcBorders>
              <w:bottom w:val="single" w:sz="4" w:space="0" w:color="auto"/>
            </w:tcBorders>
            <w:shd w:val="clear" w:color="000000" w:fill="99CCFF"/>
            <w:vAlign w:val="center"/>
            <w:hideMark/>
          </w:tcPr>
          <w:p w14:paraId="528A1D85"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Feature group</w:t>
            </w:r>
          </w:p>
        </w:tc>
        <w:tc>
          <w:tcPr>
            <w:tcW w:w="490" w:type="pct"/>
            <w:tcBorders>
              <w:bottom w:val="single" w:sz="4" w:space="0" w:color="auto"/>
            </w:tcBorders>
            <w:shd w:val="clear" w:color="000000" w:fill="99CCFF"/>
            <w:vAlign w:val="center"/>
            <w:hideMark/>
          </w:tcPr>
          <w:p w14:paraId="179B4A44"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Components</w:t>
            </w:r>
          </w:p>
        </w:tc>
        <w:tc>
          <w:tcPr>
            <w:tcW w:w="214" w:type="pct"/>
            <w:tcBorders>
              <w:bottom w:val="single" w:sz="4" w:space="0" w:color="auto"/>
            </w:tcBorders>
            <w:shd w:val="clear" w:color="000000" w:fill="99CCFF"/>
            <w:vAlign w:val="center"/>
            <w:hideMark/>
          </w:tcPr>
          <w:p w14:paraId="3B7CC91A"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 xml:space="preserve">Prerequisite feature groups </w:t>
            </w:r>
            <w:r w:rsidRPr="00AE57B5">
              <w:rPr>
                <w:rFonts w:ascii="Arial" w:eastAsia="MS PGothic" w:hAnsi="Arial" w:cs="Arial"/>
                <w:sz w:val="15"/>
                <w:szCs w:val="15"/>
              </w:rPr>
              <w:br/>
              <w:t>(listed in this sheet only)</w:t>
            </w:r>
          </w:p>
        </w:tc>
        <w:tc>
          <w:tcPr>
            <w:tcW w:w="337" w:type="pct"/>
            <w:tcBorders>
              <w:bottom w:val="single" w:sz="4" w:space="0" w:color="auto"/>
            </w:tcBorders>
            <w:shd w:val="clear" w:color="000000" w:fill="99CCFF"/>
            <w:vAlign w:val="center"/>
            <w:hideMark/>
          </w:tcPr>
          <w:p w14:paraId="3D3BBF57"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Need for g</w:t>
            </w:r>
            <w:r w:rsidRPr="00AE57B5">
              <w:rPr>
                <w:rFonts w:ascii="Calibri" w:eastAsia="MS PGothic" w:hAnsi="Calibri" w:cs="Arial"/>
                <w:sz w:val="15"/>
                <w:szCs w:val="15"/>
              </w:rPr>
              <w:t>NB to know whether the</w:t>
            </w:r>
            <w:r w:rsidRPr="00AE57B5">
              <w:rPr>
                <w:rFonts w:ascii="Calibri" w:eastAsia="MS PGothic" w:hAnsi="Calibri" w:cs="Arial"/>
                <w:sz w:val="15"/>
                <w:szCs w:val="15"/>
              </w:rPr>
              <w:br/>
              <w:t>feature is supported by the UE</w:t>
            </w:r>
            <w:r w:rsidRPr="00AE57B5">
              <w:rPr>
                <w:rFonts w:ascii="Calibri" w:eastAsia="MS PGothic" w:hAnsi="Calibri" w:cs="Arial"/>
                <w:sz w:val="15"/>
                <w:szCs w:val="15"/>
              </w:rPr>
              <w:br/>
              <w:t>(what happens if gNB does not know?)</w:t>
            </w:r>
          </w:p>
        </w:tc>
        <w:tc>
          <w:tcPr>
            <w:tcW w:w="306" w:type="pct"/>
            <w:tcBorders>
              <w:bottom w:val="single" w:sz="4" w:space="0" w:color="auto"/>
            </w:tcBorders>
            <w:shd w:val="clear" w:color="auto" w:fill="99CCFF"/>
            <w:vAlign w:val="center"/>
            <w:hideMark/>
          </w:tcPr>
          <w:p w14:paraId="38283EBA"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Consequences if the feature</w:t>
            </w:r>
            <w:r w:rsidRPr="00AE57B5">
              <w:rPr>
                <w:rFonts w:ascii="Arial" w:eastAsia="MS PGothic" w:hAnsi="Arial" w:cs="Arial"/>
                <w:sz w:val="15"/>
                <w:szCs w:val="15"/>
              </w:rPr>
              <w:br/>
              <w:t xml:space="preserve"> is not supported by the UE</w:t>
            </w:r>
          </w:p>
        </w:tc>
        <w:tc>
          <w:tcPr>
            <w:tcW w:w="214" w:type="pct"/>
            <w:tcBorders>
              <w:bottom w:val="single" w:sz="4" w:space="0" w:color="auto"/>
            </w:tcBorders>
            <w:shd w:val="clear" w:color="auto" w:fill="99CCFF"/>
            <w:vAlign w:val="center"/>
            <w:hideMark/>
          </w:tcPr>
          <w:p w14:paraId="7AFB4267"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Type (see R2-1712078)</w:t>
            </w:r>
          </w:p>
        </w:tc>
        <w:tc>
          <w:tcPr>
            <w:tcW w:w="153" w:type="pct"/>
            <w:tcBorders>
              <w:bottom w:val="single" w:sz="4" w:space="0" w:color="auto"/>
            </w:tcBorders>
            <w:shd w:val="clear" w:color="auto" w:fill="99CCFF"/>
            <w:vAlign w:val="center"/>
            <w:hideMark/>
          </w:tcPr>
          <w:p w14:paraId="142F6BA5"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Need of FDD/TDD differentiation</w:t>
            </w:r>
          </w:p>
        </w:tc>
        <w:tc>
          <w:tcPr>
            <w:tcW w:w="153" w:type="pct"/>
            <w:tcBorders>
              <w:bottom w:val="single" w:sz="4" w:space="0" w:color="auto"/>
            </w:tcBorders>
            <w:shd w:val="clear" w:color="auto" w:fill="99CCFF"/>
            <w:vAlign w:val="center"/>
          </w:tcPr>
          <w:p w14:paraId="7A416717"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Need of FR1/FR2 differentiation</w:t>
            </w:r>
          </w:p>
        </w:tc>
        <w:tc>
          <w:tcPr>
            <w:tcW w:w="337" w:type="pct"/>
            <w:tcBorders>
              <w:bottom w:val="single" w:sz="4" w:space="0" w:color="auto"/>
            </w:tcBorders>
            <w:shd w:val="clear" w:color="auto" w:fill="99CCFF"/>
            <w:vAlign w:val="center"/>
            <w:hideMark/>
          </w:tcPr>
          <w:p w14:paraId="3A1CC881"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RAN5 implication</w:t>
            </w:r>
          </w:p>
        </w:tc>
        <w:tc>
          <w:tcPr>
            <w:tcW w:w="306" w:type="pct"/>
            <w:tcBorders>
              <w:bottom w:val="single" w:sz="4" w:space="0" w:color="auto"/>
            </w:tcBorders>
            <w:shd w:val="clear" w:color="000000" w:fill="99CCFF"/>
            <w:vAlign w:val="center"/>
            <w:hideMark/>
          </w:tcPr>
          <w:p w14:paraId="7D44CD1C"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Note</w:t>
            </w:r>
          </w:p>
        </w:tc>
        <w:tc>
          <w:tcPr>
            <w:tcW w:w="215" w:type="pct"/>
            <w:tcBorders>
              <w:bottom w:val="single" w:sz="4" w:space="0" w:color="auto"/>
            </w:tcBorders>
            <w:shd w:val="clear" w:color="000000" w:fill="99CCFF"/>
            <w:vAlign w:val="center"/>
            <w:hideMark/>
          </w:tcPr>
          <w:p w14:paraId="537D999E"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Responsible WG</w:t>
            </w:r>
          </w:p>
        </w:tc>
        <w:tc>
          <w:tcPr>
            <w:tcW w:w="1249" w:type="pct"/>
            <w:tcBorders>
              <w:bottom w:val="single" w:sz="4" w:space="0" w:color="auto"/>
            </w:tcBorders>
            <w:shd w:val="clear" w:color="000000" w:fill="BFBFBF"/>
            <w:vAlign w:val="center"/>
            <w:hideMark/>
          </w:tcPr>
          <w:p w14:paraId="147B125A" w14:textId="77777777" w:rsidR="0026379A" w:rsidRPr="00AE57B5" w:rsidRDefault="0026379A" w:rsidP="005E7D73">
            <w:pPr>
              <w:snapToGrid w:val="0"/>
              <w:jc w:val="center"/>
              <w:rPr>
                <w:rFonts w:ascii="Arial" w:eastAsia="MS PGothic" w:hAnsi="Arial" w:cs="Arial"/>
                <w:sz w:val="15"/>
                <w:szCs w:val="15"/>
              </w:rPr>
            </w:pPr>
            <w:r w:rsidRPr="00AE57B5">
              <w:rPr>
                <w:rFonts w:ascii="Arial" w:eastAsia="MS PGothic" w:hAnsi="Arial" w:cs="Arial"/>
                <w:sz w:val="15"/>
                <w:szCs w:val="15"/>
              </w:rPr>
              <w:t>RAN WG recommendation</w:t>
            </w:r>
          </w:p>
        </w:tc>
        <w:tc>
          <w:tcPr>
            <w:tcW w:w="258" w:type="pct"/>
            <w:tcBorders>
              <w:bottom w:val="single" w:sz="4" w:space="0" w:color="auto"/>
            </w:tcBorders>
            <w:shd w:val="clear" w:color="000000" w:fill="FFC000"/>
            <w:vAlign w:val="center"/>
            <w:hideMark/>
          </w:tcPr>
          <w:p w14:paraId="507BB2E7" w14:textId="77777777" w:rsidR="0026379A" w:rsidRPr="00AE57B5" w:rsidRDefault="0026379A" w:rsidP="005E7D73">
            <w:pPr>
              <w:snapToGrid w:val="0"/>
              <w:jc w:val="center"/>
              <w:rPr>
                <w:rFonts w:ascii="Arial" w:eastAsia="MS PGothic" w:hAnsi="Arial" w:cs="Arial"/>
                <w:b/>
                <w:bCs/>
                <w:sz w:val="15"/>
                <w:szCs w:val="15"/>
              </w:rPr>
            </w:pPr>
            <w:r w:rsidRPr="00AE57B5">
              <w:rPr>
                <w:rFonts w:ascii="Arial" w:eastAsia="MS PGothic" w:hAnsi="Arial" w:cs="Arial"/>
                <w:b/>
                <w:bCs/>
                <w:sz w:val="15"/>
                <w:szCs w:val="15"/>
              </w:rPr>
              <w:t>TSG-RAN decision</w:t>
            </w:r>
          </w:p>
        </w:tc>
      </w:tr>
      <w:tr w:rsidR="001012B0" w:rsidRPr="00AE57B5" w14:paraId="282F85CD" w14:textId="77777777" w:rsidTr="001012B0">
        <w:trPr>
          <w:trHeight w:val="1800"/>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921606" w14:textId="77777777" w:rsidR="00AC0A93" w:rsidRPr="00CC2C13" w:rsidRDefault="00AC0A93" w:rsidP="00AC0A93">
            <w:pPr>
              <w:snapToGrid w:val="0"/>
              <w:jc w:val="center"/>
              <w:rPr>
                <w:rFonts w:ascii="Arial" w:eastAsia="MS PGothic" w:hAnsi="Arial" w:cs="Arial"/>
                <w:sz w:val="15"/>
                <w:szCs w:val="15"/>
              </w:rPr>
            </w:pP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3DACA" w14:textId="2E717C2A" w:rsidR="00AC0A93" w:rsidRPr="00CC2C13" w:rsidRDefault="00AC0A93" w:rsidP="00AC0A93">
            <w:pPr>
              <w:snapToGrid w:val="0"/>
              <w:jc w:val="center"/>
              <w:rPr>
                <w:rFonts w:ascii="Arial" w:eastAsia="MS PGothic" w:hAnsi="Arial" w:cs="Arial"/>
                <w:sz w:val="15"/>
                <w:szCs w:val="15"/>
              </w:rPr>
            </w:pPr>
            <w:r w:rsidRPr="00CC2C13">
              <w:rPr>
                <w:rFonts w:asciiTheme="majorHAnsi" w:eastAsia="Times New Roman" w:hAnsiTheme="majorHAnsi" w:cstheme="majorHAnsi"/>
                <w:sz w:val="15"/>
                <w:szCs w:val="20"/>
              </w:rPr>
              <w:t>2-28</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CD65D4" w14:textId="0843EAA2" w:rsidR="00AC0A93" w:rsidRPr="00CC2C13" w:rsidRDefault="00AC0A93" w:rsidP="00AC0A93">
            <w:pPr>
              <w:snapToGrid w:val="0"/>
              <w:jc w:val="center"/>
              <w:rPr>
                <w:rFonts w:ascii="Arial" w:eastAsia="MS PGothic" w:hAnsi="Arial" w:cs="Arial"/>
                <w:sz w:val="15"/>
                <w:szCs w:val="15"/>
              </w:rPr>
            </w:pPr>
            <w:r w:rsidRPr="00CC2C13">
              <w:rPr>
                <w:rFonts w:asciiTheme="majorHAnsi" w:eastAsia="Times New Roman" w:hAnsiTheme="majorHAnsi" w:cstheme="majorHAnsi"/>
                <w:sz w:val="15"/>
                <w:szCs w:val="20"/>
              </w:rPr>
              <w:t>A-CSI-RS beam switching timing</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D02BB" w14:textId="77777777" w:rsidR="00AC0A93" w:rsidRPr="00CC2C13" w:rsidRDefault="00AC0A93" w:rsidP="00AC0A93">
            <w:pPr>
              <w:rPr>
                <w:rFonts w:asciiTheme="majorHAnsi" w:eastAsia="Times New Roman" w:hAnsiTheme="majorHAnsi" w:cstheme="majorHAnsi"/>
                <w:sz w:val="15"/>
                <w:szCs w:val="20"/>
              </w:rPr>
            </w:pPr>
            <w:r w:rsidRPr="00CC2C13">
              <w:rPr>
                <w:rFonts w:asciiTheme="majorHAnsi" w:eastAsia="Times New Roman" w:hAnsiTheme="majorHAnsi" w:cstheme="majorHAnsi"/>
                <w:sz w:val="15"/>
                <w:szCs w:val="20"/>
              </w:rPr>
              <w:t>1. Minimum time between the DCI triggering of AP-CSI-RS and aperiodic CSI-RS transmission shall be at least KB</w:t>
            </w:r>
            <w:r w:rsidRPr="00CC2C13">
              <w:rPr>
                <w:rFonts w:asciiTheme="majorHAnsi" w:eastAsia="Times New Roman" w:hAnsiTheme="majorHAnsi" w:cstheme="majorHAnsi"/>
                <w:sz w:val="15"/>
                <w:szCs w:val="20"/>
                <w:vertAlign w:val="subscript"/>
              </w:rPr>
              <w:t>i</w:t>
            </w:r>
            <w:r w:rsidRPr="00CC2C13">
              <w:rPr>
                <w:rFonts w:asciiTheme="majorHAnsi" w:eastAsia="Times New Roman" w:hAnsiTheme="majorHAnsi" w:cstheme="majorHAnsi"/>
                <w:sz w:val="15"/>
                <w:szCs w:val="20"/>
              </w:rPr>
              <w:t xml:space="preserve"> symbols. (Symbols measured from last symbol containing the indication to first symbol of CSI-RS), where</w:t>
            </w:r>
          </w:p>
          <w:p w14:paraId="189E8612" w14:textId="77777777" w:rsidR="00AC0A93" w:rsidRPr="00CC2C13" w:rsidRDefault="00AC0A93" w:rsidP="00AC0A93">
            <w:pPr>
              <w:rPr>
                <w:rFonts w:asciiTheme="majorHAnsi" w:eastAsia="Times New Roman" w:hAnsiTheme="majorHAnsi" w:cstheme="majorHAnsi"/>
                <w:sz w:val="15"/>
                <w:szCs w:val="20"/>
              </w:rPr>
            </w:pPr>
            <w:r w:rsidRPr="00CC2C13">
              <w:rPr>
                <w:rFonts w:asciiTheme="majorHAnsi" w:eastAsia="Times New Roman" w:hAnsiTheme="majorHAnsi" w:cstheme="majorHAnsi"/>
                <w:i/>
                <w:sz w:val="15"/>
                <w:szCs w:val="20"/>
              </w:rPr>
              <w:t>i</w:t>
            </w:r>
            <w:r w:rsidRPr="00CC2C13">
              <w:rPr>
                <w:rFonts w:asciiTheme="majorHAnsi" w:eastAsia="Times New Roman" w:hAnsiTheme="majorHAnsi" w:cstheme="majorHAnsi"/>
                <w:sz w:val="15"/>
                <w:szCs w:val="20"/>
              </w:rPr>
              <w:t xml:space="preserve"> is the index of SCS, l=1,2 corresponding to 60,120 kHz SCS.</w:t>
            </w:r>
          </w:p>
          <w:p w14:paraId="03C845D1" w14:textId="308D0672" w:rsidR="00AC0A93" w:rsidRPr="00CC2C13" w:rsidRDefault="00AC0A93" w:rsidP="00AC0A93">
            <w:pPr>
              <w:snapToGrid w:val="0"/>
              <w:jc w:val="center"/>
              <w:rPr>
                <w:rFonts w:ascii="Arial" w:eastAsia="MS PGothic" w:hAnsi="Arial" w:cs="Arial"/>
                <w:sz w:val="15"/>
                <w:szCs w:val="15"/>
              </w:rPr>
            </w:pP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2B2790" w14:textId="1045AE18" w:rsidR="00AC0A93" w:rsidRPr="00CC2C13" w:rsidRDefault="00AC0A93" w:rsidP="00AC0A93">
            <w:pPr>
              <w:snapToGrid w:val="0"/>
              <w:jc w:val="center"/>
              <w:rPr>
                <w:rFonts w:ascii="Arial" w:eastAsia="MS PGothic" w:hAnsi="Arial" w:cs="Arial"/>
                <w:sz w:val="15"/>
                <w:szCs w:val="15"/>
              </w:rPr>
            </w:pPr>
            <w:r w:rsidRPr="00CC2C13">
              <w:rPr>
                <w:rFonts w:asciiTheme="majorHAnsi" w:eastAsia="Times New Roman" w:hAnsiTheme="majorHAnsi" w:cstheme="majorHAnsi"/>
                <w:sz w:val="15"/>
                <w:szCs w:val="20"/>
              </w:rPr>
              <w:t>2-27</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998179" w14:textId="6631414C" w:rsidR="00AC0A93" w:rsidRPr="00CC2C13" w:rsidRDefault="00AC0A93" w:rsidP="00AC0A93">
            <w:pPr>
              <w:snapToGrid w:val="0"/>
              <w:jc w:val="center"/>
              <w:rPr>
                <w:rFonts w:ascii="Arial" w:eastAsia="MS PGothic" w:hAnsi="Arial" w:cs="Arial"/>
                <w:sz w:val="15"/>
                <w:szCs w:val="15"/>
              </w:rPr>
            </w:pPr>
            <w:r w:rsidRPr="00CC2C13">
              <w:rPr>
                <w:rFonts w:asciiTheme="majorHAnsi" w:eastAsia="MS PGothic" w:hAnsiTheme="majorHAnsi" w:cstheme="majorHAnsi"/>
                <w:sz w:val="15"/>
                <w:szCs w:val="20"/>
              </w:rPr>
              <w:t xml:space="preserve">Yes </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08E7B5" w14:textId="29CD83F6" w:rsidR="00AC0A93" w:rsidRPr="00CC2C13" w:rsidRDefault="00AC0A93" w:rsidP="00AC0A93">
            <w:pPr>
              <w:snapToGrid w:val="0"/>
              <w:jc w:val="center"/>
              <w:rPr>
                <w:rFonts w:ascii="Arial" w:eastAsia="MS PGothic" w:hAnsi="Arial" w:cs="Arial"/>
                <w:sz w:val="15"/>
                <w:szCs w:val="15"/>
              </w:rPr>
            </w:pPr>
            <w:r w:rsidRPr="00CC2C13">
              <w:rPr>
                <w:rFonts w:asciiTheme="majorHAnsi" w:eastAsia="MS PGothic" w:hAnsiTheme="majorHAnsi" w:cstheme="majorHAnsi"/>
                <w:sz w:val="15"/>
                <w:szCs w:val="20"/>
              </w:rPr>
              <w:t xml:space="preserve">No recommendation on the desired beam switching timing </w:t>
            </w: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DE20C" w14:textId="23EE751F" w:rsidR="00AC0A93" w:rsidRPr="00CC2C13" w:rsidRDefault="00AC0A93" w:rsidP="00AC0A93">
            <w:pPr>
              <w:snapToGrid w:val="0"/>
              <w:jc w:val="center"/>
              <w:rPr>
                <w:rFonts w:ascii="Arial" w:eastAsia="MS PGothic" w:hAnsi="Arial" w:cs="Arial"/>
                <w:sz w:val="15"/>
                <w:szCs w:val="15"/>
              </w:rPr>
            </w:pPr>
            <w:r w:rsidRPr="00CC2C13">
              <w:rPr>
                <w:rFonts w:asciiTheme="majorHAnsi" w:eastAsia="Times New Roman" w:hAnsiTheme="majorHAnsi" w:cstheme="majorHAnsi"/>
                <w:sz w:val="15"/>
                <w:szCs w:val="20"/>
              </w:rPr>
              <w:t>Type1</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5B149" w14:textId="1376DE6F" w:rsidR="00AC0A93" w:rsidRPr="00CC2C13" w:rsidRDefault="00AC0A93" w:rsidP="00AC0A93">
            <w:pPr>
              <w:snapToGrid w:val="0"/>
              <w:jc w:val="center"/>
              <w:rPr>
                <w:rFonts w:ascii="Arial" w:eastAsia="MS PGothic" w:hAnsi="Arial" w:cs="Arial"/>
                <w:sz w:val="15"/>
                <w:szCs w:val="15"/>
              </w:rPr>
            </w:pPr>
            <w:r w:rsidRPr="00CC2C13">
              <w:rPr>
                <w:rFonts w:asciiTheme="majorHAnsi" w:eastAsia="MS PGothic" w:hAnsiTheme="majorHAnsi" w:cstheme="majorHAnsi"/>
                <w:sz w:val="15"/>
                <w:szCs w:val="20"/>
              </w:rPr>
              <w:t>N.A.</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5F2F2FEF" w14:textId="7F604E77" w:rsidR="00AC0A93" w:rsidRPr="00CC2C13" w:rsidRDefault="00AC0A93" w:rsidP="00AC0A93">
            <w:pPr>
              <w:snapToGrid w:val="0"/>
              <w:jc w:val="center"/>
              <w:rPr>
                <w:rFonts w:ascii="Arial" w:eastAsia="MS PGothic" w:hAnsi="Arial" w:cs="Arial"/>
                <w:sz w:val="15"/>
                <w:szCs w:val="15"/>
              </w:rPr>
            </w:pPr>
            <w:r w:rsidRPr="00CC2C13">
              <w:rPr>
                <w:rFonts w:asciiTheme="majorHAnsi" w:hAnsiTheme="majorHAnsi" w:cstheme="majorHAnsi"/>
                <w:sz w:val="15"/>
                <w:szCs w:val="20"/>
              </w:rPr>
              <w:t>N.A.</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4ECBC0" w14:textId="77777777" w:rsidR="00AC0A93" w:rsidRPr="00CC2C13" w:rsidRDefault="00AC0A93" w:rsidP="00AC0A93">
            <w:pPr>
              <w:snapToGrid w:val="0"/>
              <w:jc w:val="center"/>
              <w:rPr>
                <w:rFonts w:ascii="Arial" w:eastAsia="MS PGothic" w:hAnsi="Arial" w:cs="Arial"/>
                <w:sz w:val="15"/>
                <w:szCs w:val="15"/>
              </w:rPr>
            </w:pP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EB5C1D" w14:textId="63E68FFF" w:rsidR="00AC0A93" w:rsidRPr="00CC2C13" w:rsidRDefault="00AC0A93" w:rsidP="00AC0A93">
            <w:pPr>
              <w:snapToGrid w:val="0"/>
              <w:jc w:val="center"/>
              <w:rPr>
                <w:rFonts w:ascii="Arial" w:eastAsia="MS PGothic" w:hAnsi="Arial" w:cs="Arial"/>
                <w:sz w:val="15"/>
                <w:szCs w:val="15"/>
              </w:rPr>
            </w:pPr>
            <w:r w:rsidRPr="00CC2C13">
              <w:rPr>
                <w:rFonts w:asciiTheme="majorHAnsi" w:eastAsia="Times New Roman" w:hAnsiTheme="majorHAnsi" w:cstheme="majorHAnsi"/>
                <w:sz w:val="15"/>
                <w:szCs w:val="20"/>
              </w:rPr>
              <w:t xml:space="preserve">[Note: any value larger than 56 is not supported </w:t>
            </w:r>
            <w:r w:rsidR="00911503" w:rsidRPr="00CC2C13">
              <w:rPr>
                <w:rFonts w:asciiTheme="majorHAnsi" w:eastAsia="Times New Roman" w:hAnsiTheme="majorHAnsi" w:cstheme="majorHAnsi"/>
                <w:sz w:val="15"/>
                <w:szCs w:val="20"/>
              </w:rPr>
              <w:t>in RRC</w:t>
            </w:r>
            <w:r w:rsidRPr="00CC2C13">
              <w:rPr>
                <w:rFonts w:asciiTheme="majorHAnsi" w:eastAsia="Times New Roman" w:hAnsiTheme="majorHAnsi" w:cstheme="majorHAnsi"/>
                <w:sz w:val="15"/>
                <w:szCs w:val="20"/>
              </w:rPr>
              <w:t xml:space="preserve"> configuration now. ]</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9BCCC" w14:textId="77777777" w:rsidR="00AC0A93" w:rsidRPr="00CC2C13" w:rsidRDefault="00AC0A93" w:rsidP="00AC0A93">
            <w:pPr>
              <w:snapToGrid w:val="0"/>
              <w:jc w:val="center"/>
              <w:rPr>
                <w:rFonts w:ascii="Arial" w:eastAsia="MS PGothic" w:hAnsi="Arial" w:cs="Arial"/>
                <w:sz w:val="15"/>
                <w:szCs w:val="15"/>
              </w:rPr>
            </w:pPr>
          </w:p>
        </w:tc>
        <w:tc>
          <w:tcPr>
            <w:tcW w:w="12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146CE" w14:textId="77777777" w:rsidR="00AC0A93" w:rsidRPr="00CC2C13" w:rsidRDefault="00AC0A93" w:rsidP="00AC0A93">
            <w:pPr>
              <w:rPr>
                <w:rFonts w:asciiTheme="majorHAnsi" w:eastAsia="Times New Roman" w:hAnsiTheme="majorHAnsi" w:cstheme="majorHAnsi"/>
                <w:sz w:val="15"/>
                <w:szCs w:val="20"/>
              </w:rPr>
            </w:pPr>
            <w:r w:rsidRPr="00CC2C13">
              <w:rPr>
                <w:rFonts w:asciiTheme="majorHAnsi" w:eastAsia="Times New Roman" w:hAnsiTheme="majorHAnsi" w:cstheme="majorHAnsi"/>
                <w:sz w:val="15"/>
                <w:szCs w:val="20"/>
              </w:rPr>
              <w:t>Only applicable to FR2</w:t>
            </w:r>
          </w:p>
          <w:p w14:paraId="0A363271" w14:textId="77777777" w:rsidR="00AC0A93" w:rsidRPr="00CC2C13" w:rsidRDefault="00AC0A93" w:rsidP="00AC0A93">
            <w:pPr>
              <w:rPr>
                <w:rFonts w:asciiTheme="majorHAnsi" w:eastAsia="Times New Roman" w:hAnsiTheme="majorHAnsi" w:cstheme="majorHAnsi"/>
                <w:sz w:val="15"/>
                <w:szCs w:val="20"/>
              </w:rPr>
            </w:pPr>
            <w:r w:rsidRPr="00CC2C13">
              <w:rPr>
                <w:rFonts w:asciiTheme="majorHAnsi" w:eastAsia="Times New Roman" w:hAnsiTheme="majorHAnsi" w:cstheme="majorHAnsi"/>
                <w:sz w:val="15"/>
                <w:szCs w:val="20"/>
              </w:rPr>
              <w:t xml:space="preserve">Candidate values: </w:t>
            </w:r>
          </w:p>
          <w:p w14:paraId="5C39D837" w14:textId="6B827286" w:rsidR="00AC0A93" w:rsidRPr="00CC2C13" w:rsidRDefault="00AC0A93" w:rsidP="00AC0A93">
            <w:pPr>
              <w:rPr>
                <w:rFonts w:asciiTheme="majorHAnsi" w:eastAsia="Times New Roman" w:hAnsiTheme="majorHAnsi" w:cstheme="majorHAnsi"/>
                <w:sz w:val="15"/>
                <w:szCs w:val="20"/>
              </w:rPr>
            </w:pPr>
            <w:r w:rsidRPr="00CC2C13">
              <w:rPr>
                <w:rFonts w:asciiTheme="majorHAnsi" w:eastAsia="Times New Roman" w:hAnsiTheme="majorHAnsi" w:cstheme="majorHAnsi"/>
                <w:sz w:val="15"/>
                <w:szCs w:val="20"/>
              </w:rPr>
              <w:t xml:space="preserve">Alt.1: {14, 28, </w:t>
            </w:r>
            <w:r w:rsidR="00911503" w:rsidRPr="00CC2C13">
              <w:rPr>
                <w:rFonts w:asciiTheme="majorHAnsi" w:eastAsia="Times New Roman" w:hAnsiTheme="majorHAnsi" w:cstheme="majorHAnsi"/>
                <w:sz w:val="15"/>
                <w:szCs w:val="20"/>
              </w:rPr>
              <w:t>48}</w:t>
            </w:r>
          </w:p>
          <w:p w14:paraId="3228948B" w14:textId="77777777" w:rsidR="00AC0A93" w:rsidRPr="00CC2C13" w:rsidRDefault="00AC0A93" w:rsidP="00AC0A93">
            <w:pPr>
              <w:rPr>
                <w:rFonts w:asciiTheme="majorHAnsi" w:eastAsia="Times New Roman" w:hAnsiTheme="majorHAnsi" w:cstheme="majorHAnsi"/>
                <w:sz w:val="15"/>
                <w:szCs w:val="20"/>
              </w:rPr>
            </w:pPr>
          </w:p>
          <w:p w14:paraId="030CA60B" w14:textId="59D754D0" w:rsidR="00AC0A93" w:rsidRPr="00CC2C13" w:rsidRDefault="00AC0A93" w:rsidP="00AC0A93">
            <w:pPr>
              <w:snapToGrid w:val="0"/>
              <w:jc w:val="center"/>
              <w:rPr>
                <w:rFonts w:ascii="Arial" w:eastAsia="MS PGothic" w:hAnsi="Arial" w:cs="Arial"/>
                <w:sz w:val="15"/>
                <w:szCs w:val="15"/>
              </w:rPr>
            </w:pPr>
            <w:r w:rsidRPr="00CC2C13">
              <w:rPr>
                <w:rFonts w:asciiTheme="majorHAnsi" w:eastAsia="Times New Roman" w:hAnsiTheme="majorHAnsi" w:cstheme="majorHAnsi"/>
                <w:sz w:val="15"/>
                <w:szCs w:val="20"/>
              </w:rPr>
              <w:t>Alt.2: {“14-14”, “28-28”, “48-48”, “14-336”, “28-336”, “48-336”}, where the first threshold corresponding to the case when UE doesn’t activate antenna panel (using same panel to receive DCI and CSI-RS), and the second threshold corresponding to the case when UE may activate antenna panel (other than the panel used to receive DCI)</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AB5DC" w14:textId="77777777" w:rsidR="00AC0A93" w:rsidRPr="00CC2C13" w:rsidRDefault="00AC0A93" w:rsidP="00AC0A93">
            <w:pPr>
              <w:snapToGrid w:val="0"/>
              <w:jc w:val="center"/>
              <w:rPr>
                <w:rFonts w:ascii="Arial" w:eastAsia="MS PGothic" w:hAnsi="Arial" w:cs="Arial"/>
                <w:b/>
                <w:bCs/>
                <w:sz w:val="15"/>
                <w:szCs w:val="15"/>
              </w:rPr>
            </w:pPr>
          </w:p>
        </w:tc>
      </w:tr>
    </w:tbl>
    <w:p w14:paraId="422CE1E3" w14:textId="77777777" w:rsidR="0026379A" w:rsidRDefault="0026379A" w:rsidP="0026379A">
      <w:pPr>
        <w:rPr>
          <w:sz w:val="22"/>
        </w:rPr>
      </w:pPr>
    </w:p>
    <w:p w14:paraId="0C36B73B" w14:textId="00CDBCE1" w:rsidR="0006008B" w:rsidRDefault="000D6B25" w:rsidP="0001274F">
      <w:r>
        <w:rPr>
          <w:sz w:val="22"/>
        </w:rPr>
        <w:t xml:space="preserve">For A-CSI-RS switching time, current RRC spec only supports up to </w:t>
      </w:r>
      <w:r w:rsidR="00143695">
        <w:rPr>
          <w:sz w:val="22"/>
        </w:rPr>
        <w:t xml:space="preserve">4 slots (56 symbols). </w:t>
      </w:r>
    </w:p>
    <w:p w14:paraId="72B8B87C" w14:textId="2140E33A" w:rsidR="00124761" w:rsidRDefault="008204E5" w:rsidP="00652FFC">
      <w:r>
        <w:rPr>
          <w:noProof/>
        </w:rPr>
        <w:drawing>
          <wp:inline distT="0" distB="0" distL="0" distR="0" wp14:anchorId="5159FEC3" wp14:editId="32F324A3">
            <wp:extent cx="9072880" cy="1580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08-07 at 11.17.16 AM.png"/>
                    <pic:cNvPicPr/>
                  </pic:nvPicPr>
                  <pic:blipFill>
                    <a:blip r:embed="rId8"/>
                    <a:stretch>
                      <a:fillRect/>
                    </a:stretch>
                  </pic:blipFill>
                  <pic:spPr>
                    <a:xfrm>
                      <a:off x="0" y="0"/>
                      <a:ext cx="9072880" cy="1580515"/>
                    </a:xfrm>
                    <a:prstGeom prst="rect">
                      <a:avLst/>
                    </a:prstGeom>
                  </pic:spPr>
                </pic:pic>
              </a:graphicData>
            </a:graphic>
          </wp:inline>
        </w:drawing>
      </w:r>
    </w:p>
    <w:p w14:paraId="6FD3B4F7" w14:textId="54378B90" w:rsidR="003E50A3" w:rsidRDefault="003E50A3" w:rsidP="00652FFC">
      <w:pPr>
        <w:rPr>
          <w:sz w:val="22"/>
        </w:rPr>
      </w:pPr>
      <w:r>
        <w:rPr>
          <w:sz w:val="22"/>
        </w:rPr>
        <w:t>The potential introduction of large number, e.g. 224/336 symbols etc., is due to the RAN4 discussion on the lead time that is needed for beam switching that requires activation of a deactivated antenna panel.</w:t>
      </w:r>
      <w:r w:rsidR="005901CF">
        <w:rPr>
          <w:sz w:val="22"/>
        </w:rPr>
        <w:t xml:space="preserve"> The lead time for activating </w:t>
      </w:r>
      <w:r w:rsidR="004501D2">
        <w:rPr>
          <w:sz w:val="22"/>
        </w:rPr>
        <w:t>a</w:t>
      </w:r>
      <w:r w:rsidR="005901CF">
        <w:rPr>
          <w:sz w:val="22"/>
        </w:rPr>
        <w:t xml:space="preserve"> deactivated antenna panel, including DCI processing, is provided as [2</w:t>
      </w:r>
      <w:r w:rsidR="00B40CB3">
        <w:rPr>
          <w:sz w:val="22"/>
        </w:rPr>
        <w:t>ms</w:t>
      </w:r>
      <w:r w:rsidR="005901CF">
        <w:rPr>
          <w:sz w:val="22"/>
        </w:rPr>
        <w:t xml:space="preserve">] </w:t>
      </w:r>
      <w:r w:rsidR="005D17F9">
        <w:rPr>
          <w:sz w:val="22"/>
        </w:rPr>
        <w:t xml:space="preserve">(224 symbols for 120kHz SCS) </w:t>
      </w:r>
      <w:r w:rsidR="005901CF">
        <w:rPr>
          <w:sz w:val="22"/>
        </w:rPr>
        <w:t>or [3</w:t>
      </w:r>
      <w:r w:rsidR="00B40CB3">
        <w:rPr>
          <w:sz w:val="22"/>
        </w:rPr>
        <w:t>ms</w:t>
      </w:r>
      <w:r w:rsidR="005901CF">
        <w:rPr>
          <w:sz w:val="22"/>
        </w:rPr>
        <w:t xml:space="preserve">] </w:t>
      </w:r>
      <w:r w:rsidR="005D17F9">
        <w:rPr>
          <w:sz w:val="22"/>
        </w:rPr>
        <w:t>(336 symbo</w:t>
      </w:r>
      <w:r w:rsidR="00B40CB3">
        <w:rPr>
          <w:sz w:val="22"/>
        </w:rPr>
        <w:t>l</w:t>
      </w:r>
      <w:r w:rsidR="005D17F9">
        <w:rPr>
          <w:sz w:val="22"/>
        </w:rPr>
        <w:t>s</w:t>
      </w:r>
      <w:r w:rsidR="00B40CB3">
        <w:rPr>
          <w:sz w:val="22"/>
        </w:rPr>
        <w:t xml:space="preserve"> for 120kHz SCS)</w:t>
      </w:r>
      <w:r w:rsidR="005901CF">
        <w:rPr>
          <w:sz w:val="22"/>
        </w:rPr>
        <w:t xml:space="preserve"> in the RAN</w:t>
      </w:r>
      <w:r w:rsidR="00A52DB3">
        <w:rPr>
          <w:sz w:val="22"/>
        </w:rPr>
        <w:t>4</w:t>
      </w:r>
      <w:r w:rsidR="005901CF">
        <w:rPr>
          <w:sz w:val="22"/>
        </w:rPr>
        <w:t xml:space="preserve"> LS [4] quoted below. </w:t>
      </w:r>
    </w:p>
    <w:p w14:paraId="780C42A5" w14:textId="77777777" w:rsidR="00680925" w:rsidRDefault="00680925" w:rsidP="00652FFC">
      <w:pPr>
        <w:rPr>
          <w:sz w:val="22"/>
        </w:rPr>
      </w:pPr>
    </w:p>
    <w:p w14:paraId="195CE123" w14:textId="77777777" w:rsidR="00680925" w:rsidRDefault="00680925" w:rsidP="00652FFC">
      <w:pPr>
        <w:rPr>
          <w:sz w:val="22"/>
        </w:rPr>
      </w:pPr>
    </w:p>
    <w:p w14:paraId="1B35B8EF" w14:textId="77777777" w:rsidR="00680925" w:rsidRDefault="00680925" w:rsidP="00652FFC">
      <w:pPr>
        <w:rPr>
          <w:sz w:val="22"/>
        </w:rPr>
      </w:pPr>
    </w:p>
    <w:p w14:paraId="77046BA8" w14:textId="77777777" w:rsidR="00680925" w:rsidRDefault="00680925" w:rsidP="00652FFC">
      <w:pPr>
        <w:rPr>
          <w:sz w:val="22"/>
        </w:rPr>
      </w:pPr>
    </w:p>
    <w:tbl>
      <w:tblPr>
        <w:tblStyle w:val="TableGrid"/>
        <w:tblW w:w="0" w:type="auto"/>
        <w:tblLook w:val="04A0" w:firstRow="1" w:lastRow="0" w:firstColumn="1" w:lastColumn="0" w:noHBand="0" w:noVBand="1"/>
      </w:tblPr>
      <w:tblGrid>
        <w:gridCol w:w="14504"/>
      </w:tblGrid>
      <w:tr w:rsidR="00680925" w14:paraId="6F026A90" w14:textId="77777777" w:rsidTr="00680925">
        <w:tc>
          <w:tcPr>
            <w:tcW w:w="14504" w:type="dxa"/>
          </w:tcPr>
          <w:p w14:paraId="55201230" w14:textId="77777777" w:rsidR="00680925" w:rsidRDefault="00680925" w:rsidP="00680925">
            <w:pPr>
              <w:rPr>
                <w:sz w:val="22"/>
              </w:rPr>
            </w:pPr>
            <w:r w:rsidRPr="00680925">
              <w:rPr>
                <w:sz w:val="22"/>
              </w:rPr>
              <w:lastRenderedPageBreak/>
              <w:t xml:space="preserve">RAN4 has discussed the beam switching delay and how this impacts the UE power consumption in FR2. In order for the UE to be able to optimize power consumption (switch on/off antenna panels that are not used), the UE should be given enough time from the moment it receives a command that leads to a change in Rx beam (or multiple changes within the same slot) to the moment that the switch has happened (e.g. aperiodic CSI-RS transmission). </w:t>
            </w:r>
          </w:p>
          <w:p w14:paraId="7B66D4A2" w14:textId="77777777" w:rsidR="009C5296" w:rsidRPr="00680925" w:rsidRDefault="009C5296" w:rsidP="00680925">
            <w:pPr>
              <w:rPr>
                <w:sz w:val="22"/>
              </w:rPr>
            </w:pPr>
          </w:p>
          <w:p w14:paraId="4A66ADED" w14:textId="77777777" w:rsidR="00680925" w:rsidRPr="00680925" w:rsidRDefault="00680925" w:rsidP="00680925">
            <w:pPr>
              <w:rPr>
                <w:sz w:val="22"/>
              </w:rPr>
            </w:pPr>
            <w:bookmarkStart w:id="1" w:name="_Hlk511849716"/>
            <w:r w:rsidRPr="00680925">
              <w:rPr>
                <w:sz w:val="22"/>
              </w:rPr>
              <w:t>RAN4 agreed that the lead time should be [2] ms from the time the beam switch command is received (control channel based) or acknowledged (MAC-CE based) until the switch is finalized. RAN4 also agreed that there should be at least [3] ms between consecutive commands implying beam switch. RAN4 is still discussing this value and will further update RAN1/RAN if a longer time is needed.</w:t>
            </w:r>
          </w:p>
          <w:bookmarkEnd w:id="1"/>
          <w:p w14:paraId="55170407" w14:textId="77777777" w:rsidR="00680925" w:rsidRDefault="00680925" w:rsidP="00652FFC"/>
        </w:tc>
      </w:tr>
    </w:tbl>
    <w:p w14:paraId="21910DAD" w14:textId="77777777" w:rsidR="003E50A3" w:rsidRDefault="003E50A3" w:rsidP="00652FFC"/>
    <w:p w14:paraId="081B8E0C" w14:textId="7CB1734D" w:rsidR="009C5296" w:rsidRPr="00CE225F" w:rsidRDefault="009C5296" w:rsidP="00652FFC">
      <w:pPr>
        <w:rPr>
          <w:sz w:val="22"/>
          <w:szCs w:val="22"/>
        </w:rPr>
      </w:pPr>
      <w:r w:rsidRPr="00CE225F">
        <w:rPr>
          <w:sz w:val="22"/>
          <w:szCs w:val="22"/>
        </w:rPr>
        <w:t xml:space="preserve">Feature 2-28 has been discussed in </w:t>
      </w:r>
      <w:r w:rsidR="002B21AF">
        <w:rPr>
          <w:sz w:val="22"/>
          <w:szCs w:val="22"/>
        </w:rPr>
        <w:t xml:space="preserve">the </w:t>
      </w:r>
      <w:r w:rsidRPr="00CE225F">
        <w:rPr>
          <w:sz w:val="22"/>
          <w:szCs w:val="22"/>
        </w:rPr>
        <w:t xml:space="preserve">latest RAN#80 meeting [5] with the following 4 options </w:t>
      </w:r>
    </w:p>
    <w:p w14:paraId="5C2E74D4" w14:textId="77777777" w:rsidR="009C5296" w:rsidRPr="00CE225F" w:rsidRDefault="009C5296" w:rsidP="00652FFC">
      <w:pPr>
        <w:rPr>
          <w:sz w:val="22"/>
          <w:szCs w:val="22"/>
        </w:rPr>
      </w:pPr>
    </w:p>
    <w:tbl>
      <w:tblPr>
        <w:tblStyle w:val="TableGrid"/>
        <w:tblW w:w="0" w:type="auto"/>
        <w:tblLook w:val="04A0" w:firstRow="1" w:lastRow="0" w:firstColumn="1" w:lastColumn="0" w:noHBand="0" w:noVBand="1"/>
      </w:tblPr>
      <w:tblGrid>
        <w:gridCol w:w="14504"/>
      </w:tblGrid>
      <w:tr w:rsidR="004C257E" w:rsidRPr="00CE225F" w14:paraId="4051059B" w14:textId="77777777" w:rsidTr="004C257E">
        <w:tc>
          <w:tcPr>
            <w:tcW w:w="14504" w:type="dxa"/>
          </w:tcPr>
          <w:p w14:paraId="7C2F4BF4" w14:textId="6C57502C" w:rsidR="003A723A" w:rsidRPr="00CE225F" w:rsidRDefault="00A71C1B" w:rsidP="004C257E">
            <w:pPr>
              <w:numPr>
                <w:ilvl w:val="0"/>
                <w:numId w:val="37"/>
              </w:numPr>
              <w:rPr>
                <w:sz w:val="22"/>
                <w:szCs w:val="22"/>
              </w:rPr>
            </w:pPr>
            <w:r w:rsidRPr="00CE225F">
              <w:rPr>
                <w:rFonts w:hint="eastAsia"/>
                <w:sz w:val="22"/>
                <w:szCs w:val="22"/>
              </w:rPr>
              <w:t xml:space="preserve">Alt.1: {14, 28, 48} </w:t>
            </w:r>
          </w:p>
          <w:p w14:paraId="0EB3C89D" w14:textId="4E249563" w:rsidR="003A723A" w:rsidRPr="00CE225F" w:rsidRDefault="00A71C1B" w:rsidP="004C257E">
            <w:pPr>
              <w:numPr>
                <w:ilvl w:val="0"/>
                <w:numId w:val="37"/>
              </w:numPr>
              <w:rPr>
                <w:sz w:val="22"/>
                <w:szCs w:val="22"/>
              </w:rPr>
            </w:pPr>
            <w:r w:rsidRPr="00CE225F">
              <w:rPr>
                <w:rFonts w:hint="eastAsia"/>
                <w:sz w:val="22"/>
                <w:szCs w:val="22"/>
              </w:rPr>
              <w:t>Alt.2: {</w:t>
            </w:r>
            <w:r w:rsidRPr="00CE225F">
              <w:rPr>
                <w:rFonts w:hint="eastAsia"/>
                <w:sz w:val="22"/>
                <w:szCs w:val="22"/>
              </w:rPr>
              <w:t>“</w:t>
            </w:r>
            <w:r w:rsidRPr="00CE225F">
              <w:rPr>
                <w:rFonts w:hint="eastAsia"/>
                <w:sz w:val="22"/>
                <w:szCs w:val="22"/>
              </w:rPr>
              <w:t>14-14</w:t>
            </w:r>
            <w:r w:rsidRPr="00CE225F">
              <w:rPr>
                <w:rFonts w:hint="eastAsia"/>
                <w:sz w:val="22"/>
                <w:szCs w:val="22"/>
              </w:rPr>
              <w:t>”</w:t>
            </w:r>
            <w:r w:rsidRPr="00CE225F">
              <w:rPr>
                <w:rFonts w:hint="eastAsia"/>
                <w:sz w:val="22"/>
                <w:szCs w:val="22"/>
              </w:rPr>
              <w:t xml:space="preserve">, </w:t>
            </w:r>
            <w:r w:rsidRPr="00CE225F">
              <w:rPr>
                <w:rFonts w:hint="eastAsia"/>
                <w:sz w:val="22"/>
                <w:szCs w:val="22"/>
              </w:rPr>
              <w:t>“</w:t>
            </w:r>
            <w:r w:rsidRPr="00CE225F">
              <w:rPr>
                <w:rFonts w:hint="eastAsia"/>
                <w:sz w:val="22"/>
                <w:szCs w:val="22"/>
              </w:rPr>
              <w:t>28-28</w:t>
            </w:r>
            <w:r w:rsidRPr="00CE225F">
              <w:rPr>
                <w:rFonts w:hint="eastAsia"/>
                <w:sz w:val="22"/>
                <w:szCs w:val="22"/>
              </w:rPr>
              <w:t>”</w:t>
            </w:r>
            <w:r w:rsidRPr="00CE225F">
              <w:rPr>
                <w:rFonts w:hint="eastAsia"/>
                <w:sz w:val="22"/>
                <w:szCs w:val="22"/>
              </w:rPr>
              <w:t xml:space="preserve">, </w:t>
            </w:r>
            <w:r w:rsidRPr="00CE225F">
              <w:rPr>
                <w:rFonts w:hint="eastAsia"/>
                <w:sz w:val="22"/>
                <w:szCs w:val="22"/>
              </w:rPr>
              <w:t>“</w:t>
            </w:r>
            <w:r w:rsidRPr="00CE225F">
              <w:rPr>
                <w:rFonts w:hint="eastAsia"/>
                <w:sz w:val="22"/>
                <w:szCs w:val="22"/>
              </w:rPr>
              <w:t>48-48</w:t>
            </w:r>
            <w:r w:rsidRPr="00CE225F">
              <w:rPr>
                <w:rFonts w:hint="eastAsia"/>
                <w:sz w:val="22"/>
                <w:szCs w:val="22"/>
              </w:rPr>
              <w:t>”</w:t>
            </w:r>
            <w:r w:rsidRPr="00CE225F">
              <w:rPr>
                <w:rFonts w:hint="eastAsia"/>
                <w:sz w:val="22"/>
                <w:szCs w:val="22"/>
              </w:rPr>
              <w:t xml:space="preserve">, </w:t>
            </w:r>
            <w:r w:rsidRPr="00CE225F">
              <w:rPr>
                <w:rFonts w:hint="eastAsia"/>
                <w:sz w:val="22"/>
                <w:szCs w:val="22"/>
              </w:rPr>
              <w:t>“</w:t>
            </w:r>
            <w:r w:rsidRPr="00CE225F">
              <w:rPr>
                <w:rFonts w:hint="eastAsia"/>
                <w:sz w:val="22"/>
                <w:szCs w:val="22"/>
              </w:rPr>
              <w:t>14-336</w:t>
            </w:r>
            <w:r w:rsidRPr="00CE225F">
              <w:rPr>
                <w:rFonts w:hint="eastAsia"/>
                <w:sz w:val="22"/>
                <w:szCs w:val="22"/>
              </w:rPr>
              <w:t>”</w:t>
            </w:r>
            <w:r w:rsidRPr="00CE225F">
              <w:rPr>
                <w:rFonts w:hint="eastAsia"/>
                <w:sz w:val="22"/>
                <w:szCs w:val="22"/>
              </w:rPr>
              <w:t xml:space="preserve">, </w:t>
            </w:r>
            <w:r w:rsidRPr="00CE225F">
              <w:rPr>
                <w:rFonts w:hint="eastAsia"/>
                <w:sz w:val="22"/>
                <w:szCs w:val="22"/>
              </w:rPr>
              <w:t>“</w:t>
            </w:r>
            <w:r w:rsidRPr="00CE225F">
              <w:rPr>
                <w:rFonts w:hint="eastAsia"/>
                <w:sz w:val="22"/>
                <w:szCs w:val="22"/>
              </w:rPr>
              <w:t>28-336</w:t>
            </w:r>
            <w:r w:rsidRPr="00CE225F">
              <w:rPr>
                <w:rFonts w:hint="eastAsia"/>
                <w:sz w:val="22"/>
                <w:szCs w:val="22"/>
              </w:rPr>
              <w:t>”</w:t>
            </w:r>
            <w:r w:rsidRPr="00CE225F">
              <w:rPr>
                <w:rFonts w:hint="eastAsia"/>
                <w:sz w:val="22"/>
                <w:szCs w:val="22"/>
              </w:rPr>
              <w:t xml:space="preserve">, </w:t>
            </w:r>
            <w:r w:rsidRPr="00CE225F">
              <w:rPr>
                <w:rFonts w:hint="eastAsia"/>
                <w:sz w:val="22"/>
                <w:szCs w:val="22"/>
              </w:rPr>
              <w:t>“</w:t>
            </w:r>
            <w:r w:rsidRPr="00CE225F">
              <w:rPr>
                <w:rFonts w:hint="eastAsia"/>
                <w:sz w:val="22"/>
                <w:szCs w:val="22"/>
              </w:rPr>
              <w:t>48-336</w:t>
            </w:r>
            <w:r w:rsidRPr="00CE225F">
              <w:rPr>
                <w:rFonts w:hint="eastAsia"/>
                <w:sz w:val="22"/>
                <w:szCs w:val="22"/>
              </w:rPr>
              <w:t>”</w:t>
            </w:r>
            <w:r w:rsidRPr="00CE225F">
              <w:rPr>
                <w:rFonts w:hint="eastAsia"/>
                <w:sz w:val="22"/>
                <w:szCs w:val="22"/>
              </w:rPr>
              <w:t>},</w:t>
            </w:r>
          </w:p>
          <w:p w14:paraId="645E1819" w14:textId="038F79FA" w:rsidR="003A723A" w:rsidRPr="00CE225F" w:rsidRDefault="00A71C1B" w:rsidP="004C257E">
            <w:pPr>
              <w:numPr>
                <w:ilvl w:val="0"/>
                <w:numId w:val="37"/>
              </w:numPr>
              <w:rPr>
                <w:sz w:val="22"/>
                <w:szCs w:val="22"/>
              </w:rPr>
            </w:pPr>
            <w:r w:rsidRPr="00CE225F">
              <w:rPr>
                <w:rFonts w:hint="eastAsia"/>
                <w:sz w:val="22"/>
                <w:szCs w:val="22"/>
              </w:rPr>
              <w:t xml:space="preserve">Alt.3: a fixed value which is 224 symbols (according to RAN4 LS) and remove this FG. </w:t>
            </w:r>
          </w:p>
          <w:p w14:paraId="70B08E53" w14:textId="79961BBF" w:rsidR="004C257E" w:rsidRPr="00CE225F" w:rsidRDefault="00A71C1B" w:rsidP="004C257E">
            <w:pPr>
              <w:numPr>
                <w:ilvl w:val="0"/>
                <w:numId w:val="37"/>
              </w:numPr>
              <w:rPr>
                <w:sz w:val="22"/>
                <w:szCs w:val="22"/>
              </w:rPr>
            </w:pPr>
            <w:r w:rsidRPr="00CE225F">
              <w:rPr>
                <w:rFonts w:hint="eastAsia"/>
                <w:sz w:val="22"/>
                <w:szCs w:val="22"/>
              </w:rPr>
              <w:t>Alt.4: {14, 28, 48, 224, 336}</w:t>
            </w:r>
          </w:p>
        </w:tc>
      </w:tr>
    </w:tbl>
    <w:p w14:paraId="531C2FE9" w14:textId="77777777" w:rsidR="009C5296" w:rsidRPr="00CE225F" w:rsidRDefault="009C5296" w:rsidP="00652FFC">
      <w:pPr>
        <w:rPr>
          <w:sz w:val="22"/>
          <w:szCs w:val="22"/>
        </w:rPr>
      </w:pPr>
    </w:p>
    <w:p w14:paraId="5FF74813" w14:textId="67667FB6" w:rsidR="00175426" w:rsidRPr="00CE225F" w:rsidRDefault="00175426" w:rsidP="00652FFC">
      <w:pPr>
        <w:rPr>
          <w:sz w:val="22"/>
          <w:szCs w:val="22"/>
        </w:rPr>
      </w:pPr>
      <w:r w:rsidRPr="00CE225F">
        <w:rPr>
          <w:sz w:val="22"/>
          <w:szCs w:val="22"/>
        </w:rPr>
        <w:t>First of all, it is important to note that there are multiple switching times needed, especially for FR2, including but not limited to</w:t>
      </w:r>
    </w:p>
    <w:p w14:paraId="1D822905" w14:textId="77777777" w:rsidR="00175426" w:rsidRPr="00941D93" w:rsidRDefault="00175426" w:rsidP="00652FFC">
      <w:pPr>
        <w:rPr>
          <w:sz w:val="22"/>
          <w:szCs w:val="22"/>
        </w:rPr>
      </w:pPr>
    </w:p>
    <w:p w14:paraId="490840F8" w14:textId="18BF6638" w:rsidR="00175426" w:rsidRPr="00941D93" w:rsidRDefault="00175426" w:rsidP="00175426">
      <w:pPr>
        <w:pStyle w:val="ListParagraph"/>
        <w:numPr>
          <w:ilvl w:val="0"/>
          <w:numId w:val="38"/>
        </w:numPr>
        <w:rPr>
          <w:rFonts w:ascii="Times New Roman" w:hAnsi="Times New Roman"/>
        </w:rPr>
      </w:pPr>
      <w:r w:rsidRPr="00941D93">
        <w:rPr>
          <w:rFonts w:ascii="Times New Roman" w:hAnsi="Times New Roman"/>
        </w:rPr>
        <w:t>PDSCH beam switch (feature 2-2) which is the time offset between DCI and PDSCH</w:t>
      </w:r>
    </w:p>
    <w:p w14:paraId="18DBCAB4" w14:textId="0EB2C03F" w:rsidR="00175426" w:rsidRPr="00941D93" w:rsidRDefault="00175426" w:rsidP="00175426">
      <w:pPr>
        <w:pStyle w:val="ListParagraph"/>
        <w:numPr>
          <w:ilvl w:val="0"/>
          <w:numId w:val="38"/>
        </w:numPr>
        <w:rPr>
          <w:rFonts w:ascii="Times New Roman" w:hAnsi="Times New Roman"/>
        </w:rPr>
      </w:pPr>
      <w:r w:rsidRPr="00941D93">
        <w:rPr>
          <w:rFonts w:ascii="Times New Roman" w:hAnsi="Times New Roman"/>
        </w:rPr>
        <w:t>PUSCH beam swit</w:t>
      </w:r>
      <w:r w:rsidR="00EA20DE" w:rsidRPr="00941D93">
        <w:rPr>
          <w:rFonts w:ascii="Times New Roman" w:hAnsi="Times New Roman"/>
        </w:rPr>
        <w:t>ch which is the time offset between DCI and P</w:t>
      </w:r>
      <w:r w:rsidR="00090E33" w:rsidRPr="00941D93">
        <w:rPr>
          <w:rFonts w:ascii="Times New Roman" w:hAnsi="Times New Roman"/>
        </w:rPr>
        <w:t>U</w:t>
      </w:r>
      <w:r w:rsidR="00EA20DE" w:rsidRPr="00941D93">
        <w:rPr>
          <w:rFonts w:ascii="Times New Roman" w:hAnsi="Times New Roman"/>
        </w:rPr>
        <w:t>SCH specified in 38.214 [6]</w:t>
      </w:r>
    </w:p>
    <w:p w14:paraId="013F2353" w14:textId="77777777" w:rsidR="00175426" w:rsidRPr="00941D93" w:rsidRDefault="00175426" w:rsidP="00175426">
      <w:pPr>
        <w:pStyle w:val="ListParagraph"/>
        <w:numPr>
          <w:ilvl w:val="0"/>
          <w:numId w:val="38"/>
        </w:numPr>
        <w:rPr>
          <w:rFonts w:ascii="Times New Roman" w:hAnsi="Times New Roman"/>
        </w:rPr>
      </w:pPr>
      <w:r w:rsidRPr="00941D93">
        <w:rPr>
          <w:rFonts w:ascii="Times New Roman" w:hAnsi="Times New Roman"/>
        </w:rPr>
        <w:t>A-CSI-RS beam switch (feature 2-28) which is the time offset between DCI and A-CSI-RS</w:t>
      </w:r>
    </w:p>
    <w:p w14:paraId="15EA6882" w14:textId="150C850A" w:rsidR="00175426" w:rsidRPr="00941D93" w:rsidRDefault="00C218C5" w:rsidP="00175426">
      <w:pPr>
        <w:pStyle w:val="ListParagraph"/>
        <w:numPr>
          <w:ilvl w:val="0"/>
          <w:numId w:val="38"/>
        </w:numPr>
        <w:rPr>
          <w:rFonts w:ascii="Times New Roman" w:hAnsi="Times New Roman"/>
        </w:rPr>
      </w:pPr>
      <w:r w:rsidRPr="00941D93">
        <w:rPr>
          <w:rFonts w:ascii="Times New Roman" w:hAnsi="Times New Roman"/>
        </w:rPr>
        <w:t>A-SRS beam switch (</w:t>
      </w:r>
      <w:r w:rsidR="00FC4F6C" w:rsidRPr="00941D93">
        <w:rPr>
          <w:rFonts w:ascii="Times New Roman" w:hAnsi="Times New Roman"/>
        </w:rPr>
        <w:t>removed</w:t>
      </w:r>
      <w:r w:rsidRPr="00941D93">
        <w:rPr>
          <w:rFonts w:ascii="Times New Roman" w:hAnsi="Times New Roman"/>
        </w:rPr>
        <w:t xml:space="preserve"> </w:t>
      </w:r>
      <w:r w:rsidR="00FC4F6C" w:rsidRPr="00941D93">
        <w:rPr>
          <w:rFonts w:ascii="Times New Roman" w:hAnsi="Times New Roman"/>
        </w:rPr>
        <w:t xml:space="preserve">feature 2-54) </w:t>
      </w:r>
      <w:r w:rsidRPr="00941D93">
        <w:rPr>
          <w:rFonts w:ascii="Times New Roman" w:hAnsi="Times New Roman"/>
        </w:rPr>
        <w:t>which is the time offset between DCI and A-SRS</w:t>
      </w:r>
      <w:r w:rsidR="00FC4F6C" w:rsidRPr="00941D93">
        <w:rPr>
          <w:rFonts w:ascii="Times New Roman" w:hAnsi="Times New Roman"/>
        </w:rPr>
        <w:t xml:space="preserve"> </w:t>
      </w:r>
      <w:r w:rsidR="00BD721C">
        <w:rPr>
          <w:rFonts w:ascii="Times New Roman" w:hAnsi="Times New Roman"/>
        </w:rPr>
        <w:t>that</w:t>
      </w:r>
      <w:r w:rsidR="00FC4F6C" w:rsidRPr="00941D93">
        <w:rPr>
          <w:rFonts w:ascii="Times New Roman" w:hAnsi="Times New Roman"/>
        </w:rPr>
        <w:t xml:space="preserve"> is specified as N2+42 in 38.214 [6]</w:t>
      </w:r>
    </w:p>
    <w:p w14:paraId="2DB5914E" w14:textId="77777777" w:rsidR="00C66E63" w:rsidRDefault="00C66E63" w:rsidP="00C66E63"/>
    <w:p w14:paraId="7F643BD4" w14:textId="5632520B" w:rsidR="00795277" w:rsidRDefault="004311DF" w:rsidP="004311DF">
      <w:pPr>
        <w:rPr>
          <w:sz w:val="22"/>
          <w:szCs w:val="22"/>
        </w:rPr>
      </w:pPr>
      <w:r>
        <w:rPr>
          <w:sz w:val="22"/>
          <w:szCs w:val="22"/>
        </w:rPr>
        <w:t xml:space="preserve">Based on the above discussion, A-CSI-RS in only </w:t>
      </w:r>
      <w:r w:rsidR="003B5C09">
        <w:rPr>
          <w:sz w:val="22"/>
          <w:szCs w:val="22"/>
        </w:rPr>
        <w:t>one</w:t>
      </w:r>
      <w:r>
        <w:rPr>
          <w:sz w:val="22"/>
          <w:szCs w:val="22"/>
        </w:rPr>
        <w:t xml:space="preserve"> of the feature</w:t>
      </w:r>
      <w:r w:rsidR="003B5C09">
        <w:rPr>
          <w:sz w:val="22"/>
          <w:szCs w:val="22"/>
        </w:rPr>
        <w:t>s</w:t>
      </w:r>
      <w:r w:rsidR="00A00D13">
        <w:rPr>
          <w:sz w:val="22"/>
          <w:szCs w:val="22"/>
        </w:rPr>
        <w:t xml:space="preserve"> that require </w:t>
      </w:r>
      <w:r>
        <w:rPr>
          <w:sz w:val="22"/>
          <w:szCs w:val="22"/>
        </w:rPr>
        <w:t xml:space="preserve">UE beam switching. More importantly, UE beam switching and antenna panel management should be proprietary solution for </w:t>
      </w:r>
      <w:r w:rsidR="00ED1D14">
        <w:rPr>
          <w:sz w:val="22"/>
          <w:szCs w:val="22"/>
        </w:rPr>
        <w:t xml:space="preserve">different </w:t>
      </w:r>
      <w:r>
        <w:rPr>
          <w:sz w:val="22"/>
          <w:szCs w:val="22"/>
        </w:rPr>
        <w:t xml:space="preserve">UE implementation. </w:t>
      </w:r>
      <w:r w:rsidR="00E23633">
        <w:rPr>
          <w:sz w:val="22"/>
          <w:szCs w:val="22"/>
        </w:rPr>
        <w:t>When</w:t>
      </w:r>
      <w:r>
        <w:rPr>
          <w:sz w:val="22"/>
          <w:szCs w:val="22"/>
        </w:rPr>
        <w:t xml:space="preserve"> UE support</w:t>
      </w:r>
      <w:r w:rsidR="00AE3BE3">
        <w:rPr>
          <w:sz w:val="22"/>
          <w:szCs w:val="22"/>
        </w:rPr>
        <w:t>s</w:t>
      </w:r>
      <w:r>
        <w:rPr>
          <w:sz w:val="22"/>
          <w:szCs w:val="22"/>
        </w:rPr>
        <w:t xml:space="preserve"> multiple antenna panels, it is </w:t>
      </w:r>
      <w:r w:rsidR="0040288A">
        <w:rPr>
          <w:sz w:val="22"/>
          <w:szCs w:val="22"/>
        </w:rPr>
        <w:t xml:space="preserve">reasonable </w:t>
      </w:r>
      <w:r>
        <w:rPr>
          <w:sz w:val="22"/>
          <w:szCs w:val="22"/>
        </w:rPr>
        <w:t>for UE to activ</w:t>
      </w:r>
      <w:r w:rsidR="00AF2F96">
        <w:rPr>
          <w:sz w:val="22"/>
          <w:szCs w:val="22"/>
        </w:rPr>
        <w:t>ate</w:t>
      </w:r>
      <w:r>
        <w:rPr>
          <w:sz w:val="22"/>
          <w:szCs w:val="22"/>
        </w:rPr>
        <w:t xml:space="preserve"> and deactivate antenna </w:t>
      </w:r>
      <w:r w:rsidR="005D5DB5">
        <w:rPr>
          <w:sz w:val="22"/>
          <w:szCs w:val="22"/>
        </w:rPr>
        <w:t xml:space="preserve">panel </w:t>
      </w:r>
      <w:r w:rsidR="00C00962">
        <w:rPr>
          <w:sz w:val="22"/>
          <w:szCs w:val="22"/>
        </w:rPr>
        <w:t>smartly</w:t>
      </w:r>
      <w:r>
        <w:rPr>
          <w:sz w:val="22"/>
          <w:szCs w:val="22"/>
        </w:rPr>
        <w:t xml:space="preserve"> in order to achieve the best tradeoff between power consumption and coverage. </w:t>
      </w:r>
      <w:r w:rsidR="00582E97">
        <w:rPr>
          <w:sz w:val="22"/>
          <w:szCs w:val="22"/>
        </w:rPr>
        <w:t>However, i</w:t>
      </w:r>
      <w:r>
        <w:rPr>
          <w:sz w:val="22"/>
          <w:szCs w:val="22"/>
        </w:rPr>
        <w:t xml:space="preserve">t is not necessary that antenna panel management should be linked to the A-CSI-RS measurement or vice versa. </w:t>
      </w:r>
      <w:r w:rsidR="005528EC" w:rsidRPr="005528EC">
        <w:rPr>
          <w:sz w:val="22"/>
          <w:szCs w:val="22"/>
        </w:rPr>
        <w:t>Contrarily</w:t>
      </w:r>
      <w:r>
        <w:rPr>
          <w:sz w:val="22"/>
          <w:szCs w:val="22"/>
        </w:rPr>
        <w:t xml:space="preserve">, in order to ensure the coverage and reliable data communication, UE should perform antenna panel switch and measurement in a </w:t>
      </w:r>
      <w:r w:rsidR="00291D26">
        <w:rPr>
          <w:sz w:val="22"/>
          <w:szCs w:val="22"/>
        </w:rPr>
        <w:t>prompter</w:t>
      </w:r>
      <w:r>
        <w:rPr>
          <w:sz w:val="22"/>
          <w:szCs w:val="22"/>
        </w:rPr>
        <w:t xml:space="preserve"> way as soon as the quality of </w:t>
      </w:r>
      <w:r w:rsidR="00E84439">
        <w:rPr>
          <w:sz w:val="22"/>
          <w:szCs w:val="22"/>
        </w:rPr>
        <w:t>activated</w:t>
      </w:r>
      <w:r>
        <w:rPr>
          <w:sz w:val="22"/>
          <w:szCs w:val="22"/>
        </w:rPr>
        <w:t xml:space="preserve"> antenna panel </w:t>
      </w:r>
      <w:r w:rsidR="00795277">
        <w:rPr>
          <w:sz w:val="22"/>
          <w:szCs w:val="22"/>
        </w:rPr>
        <w:t>cannot guarantee efficient and reliable communicate with the gNB</w:t>
      </w:r>
      <w:r>
        <w:rPr>
          <w:sz w:val="22"/>
          <w:szCs w:val="22"/>
        </w:rPr>
        <w:t>.</w:t>
      </w:r>
      <w:r w:rsidR="00DD7A99">
        <w:rPr>
          <w:sz w:val="22"/>
          <w:szCs w:val="22"/>
        </w:rPr>
        <w:t xml:space="preserve"> </w:t>
      </w:r>
    </w:p>
    <w:p w14:paraId="2A9B914C" w14:textId="77777777" w:rsidR="00795277" w:rsidRDefault="00795277" w:rsidP="004311DF">
      <w:pPr>
        <w:rPr>
          <w:sz w:val="22"/>
          <w:szCs w:val="22"/>
        </w:rPr>
      </w:pPr>
    </w:p>
    <w:p w14:paraId="0E917B00" w14:textId="50762403" w:rsidR="00CA44F4" w:rsidRDefault="00DD7A99" w:rsidP="004311DF">
      <w:pPr>
        <w:rPr>
          <w:sz w:val="22"/>
          <w:szCs w:val="22"/>
        </w:rPr>
      </w:pPr>
      <w:r>
        <w:rPr>
          <w:sz w:val="22"/>
          <w:szCs w:val="22"/>
        </w:rPr>
        <w:t xml:space="preserve">It is </w:t>
      </w:r>
      <w:r w:rsidR="00795277">
        <w:rPr>
          <w:sz w:val="22"/>
          <w:szCs w:val="22"/>
        </w:rPr>
        <w:t xml:space="preserve">also </w:t>
      </w:r>
      <w:r w:rsidR="00E121CD">
        <w:rPr>
          <w:sz w:val="22"/>
          <w:szCs w:val="22"/>
        </w:rPr>
        <w:t>important</w:t>
      </w:r>
      <w:r>
        <w:rPr>
          <w:sz w:val="22"/>
          <w:szCs w:val="22"/>
        </w:rPr>
        <w:t xml:space="preserve"> to note the mis-connection between the UE antenna panel switch and NW decision on the triggering of A-CSI-RS</w:t>
      </w:r>
      <w:r w:rsidR="00795277">
        <w:rPr>
          <w:sz w:val="22"/>
          <w:szCs w:val="22"/>
        </w:rPr>
        <w:t xml:space="preserve"> in Alt. 2. For Alt 2., when gNB schedules A-CSI-RS, gNB needs to make decision whether to support UE antenna panel switch</w:t>
      </w:r>
      <w:r w:rsidR="003A1725">
        <w:rPr>
          <w:sz w:val="22"/>
          <w:szCs w:val="22"/>
        </w:rPr>
        <w:t xml:space="preserve">, </w:t>
      </w:r>
      <w:r w:rsidR="00943A7D">
        <w:rPr>
          <w:sz w:val="22"/>
          <w:szCs w:val="22"/>
        </w:rPr>
        <w:t>e.</w:t>
      </w:r>
      <w:r w:rsidR="003A1725">
        <w:rPr>
          <w:sz w:val="22"/>
          <w:szCs w:val="22"/>
        </w:rPr>
        <w:t>g.</w:t>
      </w:r>
      <w:r w:rsidR="00943A7D">
        <w:rPr>
          <w:sz w:val="22"/>
          <w:szCs w:val="22"/>
        </w:rPr>
        <w:t xml:space="preserve"> choose “28” or “336” if UE reports “28-366” in its capability signalling</w:t>
      </w:r>
      <w:r w:rsidR="00795277">
        <w:rPr>
          <w:sz w:val="22"/>
          <w:szCs w:val="22"/>
        </w:rPr>
        <w:t xml:space="preserve">. However, </w:t>
      </w:r>
      <w:r w:rsidR="00943A7D">
        <w:rPr>
          <w:sz w:val="22"/>
          <w:szCs w:val="22"/>
        </w:rPr>
        <w:t xml:space="preserve">antenna panel switch </w:t>
      </w:r>
      <w:r w:rsidR="003A1725">
        <w:rPr>
          <w:sz w:val="22"/>
          <w:szCs w:val="22"/>
        </w:rPr>
        <w:t xml:space="preserve">and activation/deactivation </w:t>
      </w:r>
      <w:r w:rsidR="00D75936">
        <w:rPr>
          <w:sz w:val="22"/>
          <w:szCs w:val="22"/>
        </w:rPr>
        <w:t xml:space="preserve">are </w:t>
      </w:r>
      <w:r w:rsidR="00943A7D">
        <w:rPr>
          <w:sz w:val="22"/>
          <w:szCs w:val="22"/>
        </w:rPr>
        <w:t>UE decision and, currently, not know</w:t>
      </w:r>
      <w:r w:rsidR="008E4CA5">
        <w:rPr>
          <w:sz w:val="22"/>
          <w:szCs w:val="22"/>
        </w:rPr>
        <w:t>n</w:t>
      </w:r>
      <w:r w:rsidR="00943A7D">
        <w:rPr>
          <w:sz w:val="22"/>
          <w:szCs w:val="22"/>
        </w:rPr>
        <w:t xml:space="preserve"> at gNB side. </w:t>
      </w:r>
      <w:r w:rsidR="006D0B1B">
        <w:rPr>
          <w:sz w:val="22"/>
          <w:szCs w:val="22"/>
        </w:rPr>
        <w:t xml:space="preserve">To adopt Alt 2., either gNB makes the decision on whether UE switch </w:t>
      </w:r>
      <w:r w:rsidR="0062297C">
        <w:rPr>
          <w:sz w:val="22"/>
          <w:szCs w:val="22"/>
        </w:rPr>
        <w:t xml:space="preserve">or activate/deactivate </w:t>
      </w:r>
      <w:r w:rsidR="006D0B1B">
        <w:rPr>
          <w:sz w:val="22"/>
          <w:szCs w:val="22"/>
        </w:rPr>
        <w:t>antenna panel or UE need</w:t>
      </w:r>
      <w:r w:rsidR="007D6E5F">
        <w:rPr>
          <w:sz w:val="22"/>
          <w:szCs w:val="22"/>
        </w:rPr>
        <w:t>s</w:t>
      </w:r>
      <w:r w:rsidR="006D0B1B">
        <w:rPr>
          <w:sz w:val="22"/>
          <w:szCs w:val="22"/>
        </w:rPr>
        <w:t xml:space="preserve"> to explicitly inform the gNB its decision of antenna panel switch. Both solutions </w:t>
      </w:r>
      <w:r w:rsidR="00CD0DD8">
        <w:rPr>
          <w:sz w:val="22"/>
          <w:szCs w:val="22"/>
        </w:rPr>
        <w:t>incur</w:t>
      </w:r>
      <w:r w:rsidR="006D0B1B">
        <w:rPr>
          <w:sz w:val="22"/>
          <w:szCs w:val="22"/>
        </w:rPr>
        <w:t xml:space="preserve"> inefficiency and additional latency which defeats the purpose of dynamically indicating different time offset. </w:t>
      </w:r>
    </w:p>
    <w:p w14:paraId="3D42C4D2" w14:textId="77777777" w:rsidR="00B844A0" w:rsidRDefault="00B844A0" w:rsidP="004311DF">
      <w:pPr>
        <w:rPr>
          <w:sz w:val="22"/>
          <w:szCs w:val="22"/>
        </w:rPr>
      </w:pPr>
    </w:p>
    <w:p w14:paraId="4AD4F550" w14:textId="77777777" w:rsidR="006D0B1B" w:rsidRDefault="006D0B1B" w:rsidP="004311DF">
      <w:pPr>
        <w:rPr>
          <w:sz w:val="22"/>
          <w:szCs w:val="22"/>
        </w:rPr>
      </w:pPr>
    </w:p>
    <w:p w14:paraId="6A63B1B7" w14:textId="67E9CC6D" w:rsidR="00656AE0" w:rsidRPr="00656AE0" w:rsidRDefault="00656AE0" w:rsidP="00656AE0">
      <w:pPr>
        <w:pStyle w:val="Caption"/>
        <w:keepNext/>
        <w:rPr>
          <w:sz w:val="22"/>
        </w:rPr>
      </w:pPr>
      <w:r w:rsidRPr="00656AE0">
        <w:rPr>
          <w:sz w:val="22"/>
        </w:rPr>
        <w:lastRenderedPageBreak/>
        <w:t xml:space="preserve">Table </w:t>
      </w:r>
      <w:r w:rsidRPr="00656AE0">
        <w:rPr>
          <w:sz w:val="22"/>
        </w:rPr>
        <w:fldChar w:fldCharType="begin"/>
      </w:r>
      <w:r w:rsidRPr="00656AE0">
        <w:rPr>
          <w:sz w:val="22"/>
        </w:rPr>
        <w:instrText xml:space="preserve"> SEQ Table \* ARABIC </w:instrText>
      </w:r>
      <w:r w:rsidRPr="00656AE0">
        <w:rPr>
          <w:sz w:val="22"/>
        </w:rPr>
        <w:fldChar w:fldCharType="separate"/>
      </w:r>
      <w:r w:rsidRPr="00656AE0">
        <w:rPr>
          <w:noProof/>
          <w:sz w:val="22"/>
        </w:rPr>
        <w:t>1</w:t>
      </w:r>
      <w:r w:rsidRPr="00656AE0">
        <w:rPr>
          <w:sz w:val="22"/>
        </w:rPr>
        <w:fldChar w:fldCharType="end"/>
      </w:r>
      <w:r w:rsidRPr="00656AE0">
        <w:rPr>
          <w:sz w:val="22"/>
        </w:rPr>
        <w:t xml:space="preserve"> Comparison of different alt. for feature 2-28</w:t>
      </w:r>
    </w:p>
    <w:tbl>
      <w:tblPr>
        <w:tblStyle w:val="TableGrid"/>
        <w:tblW w:w="0" w:type="auto"/>
        <w:jc w:val="center"/>
        <w:tblLook w:val="04A0" w:firstRow="1" w:lastRow="0" w:firstColumn="1" w:lastColumn="0" w:noHBand="0" w:noVBand="1"/>
      </w:tblPr>
      <w:tblGrid>
        <w:gridCol w:w="3824"/>
        <w:gridCol w:w="1350"/>
        <w:gridCol w:w="3060"/>
        <w:gridCol w:w="2610"/>
        <w:gridCol w:w="2271"/>
      </w:tblGrid>
      <w:tr w:rsidR="00B844A0" w14:paraId="58A29516" w14:textId="77777777" w:rsidTr="00704AC6">
        <w:trPr>
          <w:jc w:val="center"/>
        </w:trPr>
        <w:tc>
          <w:tcPr>
            <w:tcW w:w="3824" w:type="dxa"/>
            <w:vAlign w:val="center"/>
          </w:tcPr>
          <w:p w14:paraId="265AE0C0" w14:textId="77777777" w:rsidR="00B844A0" w:rsidRDefault="00B844A0" w:rsidP="00892E4B">
            <w:pPr>
              <w:jc w:val="center"/>
              <w:rPr>
                <w:sz w:val="22"/>
                <w:szCs w:val="22"/>
              </w:rPr>
            </w:pPr>
          </w:p>
        </w:tc>
        <w:tc>
          <w:tcPr>
            <w:tcW w:w="1350" w:type="dxa"/>
            <w:vAlign w:val="center"/>
          </w:tcPr>
          <w:p w14:paraId="178D0266" w14:textId="77777777" w:rsidR="00B844A0" w:rsidRDefault="00B844A0" w:rsidP="00892E4B">
            <w:pPr>
              <w:jc w:val="center"/>
              <w:rPr>
                <w:sz w:val="22"/>
                <w:szCs w:val="22"/>
              </w:rPr>
            </w:pPr>
            <w:r>
              <w:rPr>
                <w:rFonts w:hint="eastAsia"/>
                <w:sz w:val="22"/>
                <w:szCs w:val="22"/>
              </w:rPr>
              <w:t>Alt.1</w:t>
            </w:r>
          </w:p>
          <w:p w14:paraId="076CF986" w14:textId="0B1DDC43" w:rsidR="00B844A0" w:rsidRDefault="00B844A0" w:rsidP="00892E4B">
            <w:pPr>
              <w:jc w:val="center"/>
              <w:rPr>
                <w:sz w:val="22"/>
                <w:szCs w:val="22"/>
              </w:rPr>
            </w:pPr>
            <w:r w:rsidRPr="00CE225F">
              <w:rPr>
                <w:rFonts w:hint="eastAsia"/>
                <w:sz w:val="22"/>
                <w:szCs w:val="22"/>
              </w:rPr>
              <w:t>{14, 28, 48}</w:t>
            </w:r>
          </w:p>
        </w:tc>
        <w:tc>
          <w:tcPr>
            <w:tcW w:w="3060" w:type="dxa"/>
            <w:vAlign w:val="center"/>
          </w:tcPr>
          <w:p w14:paraId="3C9029F3" w14:textId="200ADAB5" w:rsidR="00D03125" w:rsidRDefault="00B844A0" w:rsidP="00892E4B">
            <w:pPr>
              <w:jc w:val="center"/>
              <w:rPr>
                <w:sz w:val="22"/>
                <w:szCs w:val="22"/>
              </w:rPr>
            </w:pPr>
            <w:r w:rsidRPr="00CE225F">
              <w:rPr>
                <w:rFonts w:hint="eastAsia"/>
                <w:sz w:val="22"/>
                <w:szCs w:val="22"/>
              </w:rPr>
              <w:t>Alt.2:</w:t>
            </w:r>
          </w:p>
          <w:p w14:paraId="7AAD4000" w14:textId="64ED9FF1" w:rsidR="00B844A0" w:rsidRDefault="00B844A0" w:rsidP="00892E4B">
            <w:pPr>
              <w:jc w:val="center"/>
              <w:rPr>
                <w:sz w:val="22"/>
                <w:szCs w:val="22"/>
              </w:rPr>
            </w:pPr>
            <w:r w:rsidRPr="00CE225F">
              <w:rPr>
                <w:rFonts w:hint="eastAsia"/>
                <w:sz w:val="22"/>
                <w:szCs w:val="22"/>
              </w:rPr>
              <w:t>{</w:t>
            </w:r>
            <w:r w:rsidRPr="00CE225F">
              <w:rPr>
                <w:rFonts w:hint="eastAsia"/>
                <w:sz w:val="22"/>
                <w:szCs w:val="22"/>
              </w:rPr>
              <w:t>“</w:t>
            </w:r>
            <w:r w:rsidRPr="00CE225F">
              <w:rPr>
                <w:rFonts w:hint="eastAsia"/>
                <w:sz w:val="22"/>
                <w:szCs w:val="22"/>
              </w:rPr>
              <w:t>14-14</w:t>
            </w:r>
            <w:r w:rsidRPr="00CE225F">
              <w:rPr>
                <w:rFonts w:hint="eastAsia"/>
                <w:sz w:val="22"/>
                <w:szCs w:val="22"/>
              </w:rPr>
              <w:t>”</w:t>
            </w:r>
            <w:r w:rsidRPr="00CE225F">
              <w:rPr>
                <w:rFonts w:hint="eastAsia"/>
                <w:sz w:val="22"/>
                <w:szCs w:val="22"/>
              </w:rPr>
              <w:t xml:space="preserve">, </w:t>
            </w:r>
            <w:r w:rsidRPr="00CE225F">
              <w:rPr>
                <w:rFonts w:hint="eastAsia"/>
                <w:sz w:val="22"/>
                <w:szCs w:val="22"/>
              </w:rPr>
              <w:t>“</w:t>
            </w:r>
            <w:r w:rsidRPr="00CE225F">
              <w:rPr>
                <w:rFonts w:hint="eastAsia"/>
                <w:sz w:val="22"/>
                <w:szCs w:val="22"/>
              </w:rPr>
              <w:t>28-28</w:t>
            </w:r>
            <w:r w:rsidRPr="00CE225F">
              <w:rPr>
                <w:rFonts w:hint="eastAsia"/>
                <w:sz w:val="22"/>
                <w:szCs w:val="22"/>
              </w:rPr>
              <w:t>”</w:t>
            </w:r>
            <w:r w:rsidRPr="00CE225F">
              <w:rPr>
                <w:rFonts w:hint="eastAsia"/>
                <w:sz w:val="22"/>
                <w:szCs w:val="22"/>
              </w:rPr>
              <w:t xml:space="preserve">, </w:t>
            </w:r>
            <w:r w:rsidRPr="00CE225F">
              <w:rPr>
                <w:rFonts w:hint="eastAsia"/>
                <w:sz w:val="22"/>
                <w:szCs w:val="22"/>
              </w:rPr>
              <w:t>“</w:t>
            </w:r>
            <w:r w:rsidRPr="00CE225F">
              <w:rPr>
                <w:rFonts w:hint="eastAsia"/>
                <w:sz w:val="22"/>
                <w:szCs w:val="22"/>
              </w:rPr>
              <w:t>48-48</w:t>
            </w:r>
            <w:r w:rsidRPr="00CE225F">
              <w:rPr>
                <w:rFonts w:hint="eastAsia"/>
                <w:sz w:val="22"/>
                <w:szCs w:val="22"/>
              </w:rPr>
              <w:t>”</w:t>
            </w:r>
            <w:r w:rsidRPr="00CE225F">
              <w:rPr>
                <w:rFonts w:hint="eastAsia"/>
                <w:sz w:val="22"/>
                <w:szCs w:val="22"/>
              </w:rPr>
              <w:t xml:space="preserve">, </w:t>
            </w:r>
            <w:r w:rsidRPr="00CE225F">
              <w:rPr>
                <w:rFonts w:hint="eastAsia"/>
                <w:sz w:val="22"/>
                <w:szCs w:val="22"/>
              </w:rPr>
              <w:t>“</w:t>
            </w:r>
            <w:r w:rsidRPr="00CE225F">
              <w:rPr>
                <w:rFonts w:hint="eastAsia"/>
                <w:sz w:val="22"/>
                <w:szCs w:val="22"/>
              </w:rPr>
              <w:t>14-336</w:t>
            </w:r>
            <w:r w:rsidRPr="00CE225F">
              <w:rPr>
                <w:rFonts w:hint="eastAsia"/>
                <w:sz w:val="22"/>
                <w:szCs w:val="22"/>
              </w:rPr>
              <w:t>”</w:t>
            </w:r>
            <w:r w:rsidRPr="00CE225F">
              <w:rPr>
                <w:rFonts w:hint="eastAsia"/>
                <w:sz w:val="22"/>
                <w:szCs w:val="22"/>
              </w:rPr>
              <w:t xml:space="preserve">, </w:t>
            </w:r>
            <w:r w:rsidRPr="00CE225F">
              <w:rPr>
                <w:rFonts w:hint="eastAsia"/>
                <w:sz w:val="22"/>
                <w:szCs w:val="22"/>
              </w:rPr>
              <w:t>“</w:t>
            </w:r>
            <w:r w:rsidRPr="00CE225F">
              <w:rPr>
                <w:rFonts w:hint="eastAsia"/>
                <w:sz w:val="22"/>
                <w:szCs w:val="22"/>
              </w:rPr>
              <w:t>28-336</w:t>
            </w:r>
            <w:r w:rsidRPr="00CE225F">
              <w:rPr>
                <w:rFonts w:hint="eastAsia"/>
                <w:sz w:val="22"/>
                <w:szCs w:val="22"/>
              </w:rPr>
              <w:t>”</w:t>
            </w:r>
            <w:r w:rsidRPr="00CE225F">
              <w:rPr>
                <w:rFonts w:hint="eastAsia"/>
                <w:sz w:val="22"/>
                <w:szCs w:val="22"/>
              </w:rPr>
              <w:t xml:space="preserve">, </w:t>
            </w:r>
            <w:r w:rsidRPr="00CE225F">
              <w:rPr>
                <w:rFonts w:hint="eastAsia"/>
                <w:sz w:val="22"/>
                <w:szCs w:val="22"/>
              </w:rPr>
              <w:t>“</w:t>
            </w:r>
            <w:r w:rsidRPr="00CE225F">
              <w:rPr>
                <w:rFonts w:hint="eastAsia"/>
                <w:sz w:val="22"/>
                <w:szCs w:val="22"/>
              </w:rPr>
              <w:t>48-336</w:t>
            </w:r>
            <w:r w:rsidRPr="00CE225F">
              <w:rPr>
                <w:rFonts w:hint="eastAsia"/>
                <w:sz w:val="22"/>
                <w:szCs w:val="22"/>
              </w:rPr>
              <w:t>”</w:t>
            </w:r>
            <w:r w:rsidR="00892E4B">
              <w:rPr>
                <w:rFonts w:hint="eastAsia"/>
                <w:sz w:val="22"/>
                <w:szCs w:val="22"/>
              </w:rPr>
              <w:t>}</w:t>
            </w:r>
          </w:p>
        </w:tc>
        <w:tc>
          <w:tcPr>
            <w:tcW w:w="2610" w:type="dxa"/>
            <w:vAlign w:val="center"/>
          </w:tcPr>
          <w:p w14:paraId="60643FF9" w14:textId="5B750D19" w:rsidR="00D03125" w:rsidRDefault="00D03125" w:rsidP="00892E4B">
            <w:pPr>
              <w:jc w:val="center"/>
              <w:rPr>
                <w:sz w:val="22"/>
                <w:szCs w:val="22"/>
              </w:rPr>
            </w:pPr>
            <w:r w:rsidRPr="00CE225F">
              <w:rPr>
                <w:rFonts w:hint="eastAsia"/>
                <w:sz w:val="22"/>
                <w:szCs w:val="22"/>
              </w:rPr>
              <w:t>Alt.3:</w:t>
            </w:r>
          </w:p>
          <w:p w14:paraId="637D3449" w14:textId="34844C87" w:rsidR="00B844A0" w:rsidRPr="00D03125" w:rsidRDefault="00D03125" w:rsidP="00892E4B">
            <w:pPr>
              <w:jc w:val="center"/>
              <w:rPr>
                <w:sz w:val="22"/>
                <w:szCs w:val="22"/>
              </w:rPr>
            </w:pPr>
            <w:r>
              <w:rPr>
                <w:rFonts w:hint="eastAsia"/>
                <w:sz w:val="22"/>
                <w:szCs w:val="22"/>
              </w:rPr>
              <w:t>a fixed value</w:t>
            </w:r>
            <w:r>
              <w:rPr>
                <w:sz w:val="22"/>
                <w:szCs w:val="22"/>
              </w:rPr>
              <w:t xml:space="preserve"> </w:t>
            </w:r>
            <w:r w:rsidRPr="00CE225F">
              <w:rPr>
                <w:rFonts w:hint="eastAsia"/>
                <w:sz w:val="22"/>
                <w:szCs w:val="22"/>
              </w:rPr>
              <w:t>224 symbols</w:t>
            </w:r>
          </w:p>
        </w:tc>
        <w:tc>
          <w:tcPr>
            <w:tcW w:w="2271" w:type="dxa"/>
            <w:vAlign w:val="center"/>
          </w:tcPr>
          <w:p w14:paraId="0EFC8D6F" w14:textId="5278A5B8" w:rsidR="00D03125" w:rsidRDefault="00D03125" w:rsidP="00892E4B">
            <w:pPr>
              <w:jc w:val="center"/>
              <w:rPr>
                <w:sz w:val="22"/>
                <w:szCs w:val="22"/>
              </w:rPr>
            </w:pPr>
            <w:r w:rsidRPr="00CE225F">
              <w:rPr>
                <w:rFonts w:hint="eastAsia"/>
                <w:sz w:val="22"/>
                <w:szCs w:val="22"/>
              </w:rPr>
              <w:t>Alt.4:</w:t>
            </w:r>
          </w:p>
          <w:p w14:paraId="554BD120" w14:textId="09CA818B" w:rsidR="00B844A0" w:rsidRDefault="00D03125" w:rsidP="00892E4B">
            <w:pPr>
              <w:jc w:val="center"/>
              <w:rPr>
                <w:sz w:val="22"/>
                <w:szCs w:val="22"/>
              </w:rPr>
            </w:pPr>
            <w:r w:rsidRPr="00CE225F">
              <w:rPr>
                <w:rFonts w:hint="eastAsia"/>
                <w:sz w:val="22"/>
                <w:szCs w:val="22"/>
              </w:rPr>
              <w:t>{14, 28, 48, 224, 336}</w:t>
            </w:r>
          </w:p>
        </w:tc>
      </w:tr>
      <w:tr w:rsidR="00B844A0" w14:paraId="2A5D4B47" w14:textId="77777777" w:rsidTr="00704AC6">
        <w:trPr>
          <w:jc w:val="center"/>
        </w:trPr>
        <w:tc>
          <w:tcPr>
            <w:tcW w:w="3824" w:type="dxa"/>
            <w:vAlign w:val="center"/>
          </w:tcPr>
          <w:p w14:paraId="703E4C60" w14:textId="4AFB86AD" w:rsidR="00B844A0" w:rsidRDefault="00346574" w:rsidP="00892E4B">
            <w:pPr>
              <w:jc w:val="center"/>
              <w:rPr>
                <w:sz w:val="22"/>
                <w:szCs w:val="22"/>
              </w:rPr>
            </w:pPr>
            <w:r>
              <w:rPr>
                <w:sz w:val="22"/>
                <w:szCs w:val="22"/>
              </w:rPr>
              <w:t>Support single p</w:t>
            </w:r>
            <w:r w:rsidR="004E24CC">
              <w:rPr>
                <w:sz w:val="22"/>
                <w:szCs w:val="22"/>
              </w:rPr>
              <w:t>anel</w:t>
            </w:r>
          </w:p>
        </w:tc>
        <w:tc>
          <w:tcPr>
            <w:tcW w:w="1350" w:type="dxa"/>
            <w:vAlign w:val="center"/>
          </w:tcPr>
          <w:p w14:paraId="2104E17C" w14:textId="3A1BB513" w:rsidR="00B844A0" w:rsidRDefault="00EC43BC" w:rsidP="00892E4B">
            <w:pPr>
              <w:jc w:val="center"/>
              <w:rPr>
                <w:sz w:val="22"/>
                <w:szCs w:val="22"/>
              </w:rPr>
            </w:pPr>
            <w:r w:rsidRPr="00E8304E">
              <w:rPr>
                <w:color w:val="00B050"/>
                <w:sz w:val="22"/>
                <w:szCs w:val="22"/>
              </w:rPr>
              <w:t>Yes</w:t>
            </w:r>
          </w:p>
        </w:tc>
        <w:tc>
          <w:tcPr>
            <w:tcW w:w="3060" w:type="dxa"/>
            <w:vAlign w:val="center"/>
          </w:tcPr>
          <w:p w14:paraId="534B0705" w14:textId="1F0D1A9B" w:rsidR="00B844A0" w:rsidRDefault="00EC43BC" w:rsidP="00892E4B">
            <w:pPr>
              <w:jc w:val="center"/>
              <w:rPr>
                <w:sz w:val="22"/>
                <w:szCs w:val="22"/>
              </w:rPr>
            </w:pPr>
            <w:r w:rsidRPr="00E8304E">
              <w:rPr>
                <w:color w:val="00B050"/>
                <w:sz w:val="22"/>
                <w:szCs w:val="22"/>
              </w:rPr>
              <w:t>Yes</w:t>
            </w:r>
          </w:p>
        </w:tc>
        <w:tc>
          <w:tcPr>
            <w:tcW w:w="2610" w:type="dxa"/>
            <w:vAlign w:val="center"/>
          </w:tcPr>
          <w:p w14:paraId="005934C5" w14:textId="0534FEEB" w:rsidR="00B844A0" w:rsidRDefault="00EC43BC" w:rsidP="00892E4B">
            <w:pPr>
              <w:jc w:val="center"/>
              <w:rPr>
                <w:sz w:val="22"/>
                <w:szCs w:val="22"/>
              </w:rPr>
            </w:pPr>
            <w:r w:rsidRPr="00E8304E">
              <w:rPr>
                <w:color w:val="FF0000"/>
                <w:sz w:val="22"/>
                <w:szCs w:val="22"/>
              </w:rPr>
              <w:t>Not efficient</w:t>
            </w:r>
          </w:p>
        </w:tc>
        <w:tc>
          <w:tcPr>
            <w:tcW w:w="2271" w:type="dxa"/>
            <w:vAlign w:val="center"/>
          </w:tcPr>
          <w:p w14:paraId="794A16E5" w14:textId="4173E196" w:rsidR="00B844A0" w:rsidRDefault="00EC43BC" w:rsidP="00892E4B">
            <w:pPr>
              <w:jc w:val="center"/>
              <w:rPr>
                <w:sz w:val="22"/>
                <w:szCs w:val="22"/>
              </w:rPr>
            </w:pPr>
            <w:r w:rsidRPr="00E8304E">
              <w:rPr>
                <w:color w:val="00B050"/>
                <w:sz w:val="22"/>
                <w:szCs w:val="22"/>
              </w:rPr>
              <w:t>Yes</w:t>
            </w:r>
          </w:p>
        </w:tc>
      </w:tr>
      <w:tr w:rsidR="00EC43BC" w14:paraId="399A36F3" w14:textId="77777777" w:rsidTr="00704AC6">
        <w:trPr>
          <w:jc w:val="center"/>
        </w:trPr>
        <w:tc>
          <w:tcPr>
            <w:tcW w:w="3824" w:type="dxa"/>
            <w:vAlign w:val="center"/>
          </w:tcPr>
          <w:p w14:paraId="581D9CDC" w14:textId="4B7D4474" w:rsidR="00EC43BC" w:rsidRDefault="00EC43BC" w:rsidP="00EC43BC">
            <w:pPr>
              <w:jc w:val="center"/>
              <w:rPr>
                <w:sz w:val="22"/>
                <w:szCs w:val="22"/>
              </w:rPr>
            </w:pPr>
            <w:r>
              <w:rPr>
                <w:sz w:val="22"/>
                <w:szCs w:val="22"/>
              </w:rPr>
              <w:t>Support multiple panel</w:t>
            </w:r>
          </w:p>
        </w:tc>
        <w:tc>
          <w:tcPr>
            <w:tcW w:w="1350" w:type="dxa"/>
            <w:vAlign w:val="center"/>
          </w:tcPr>
          <w:p w14:paraId="03179B5D" w14:textId="281D5BBF" w:rsidR="00EC43BC" w:rsidRDefault="00EC43BC" w:rsidP="00EC43BC">
            <w:pPr>
              <w:jc w:val="center"/>
              <w:rPr>
                <w:sz w:val="22"/>
                <w:szCs w:val="22"/>
              </w:rPr>
            </w:pPr>
            <w:r w:rsidRPr="00E8304E">
              <w:rPr>
                <w:color w:val="FF0000"/>
                <w:sz w:val="22"/>
                <w:szCs w:val="22"/>
              </w:rPr>
              <w:t>Not efficient</w:t>
            </w:r>
          </w:p>
        </w:tc>
        <w:tc>
          <w:tcPr>
            <w:tcW w:w="3060" w:type="dxa"/>
          </w:tcPr>
          <w:p w14:paraId="3BAFE06E" w14:textId="3443BA5B" w:rsidR="00EC43BC" w:rsidRDefault="00EC43BC" w:rsidP="00EC43BC">
            <w:pPr>
              <w:jc w:val="center"/>
              <w:rPr>
                <w:sz w:val="22"/>
                <w:szCs w:val="22"/>
              </w:rPr>
            </w:pPr>
            <w:r w:rsidRPr="00E8304E">
              <w:rPr>
                <w:color w:val="00B050"/>
                <w:sz w:val="22"/>
                <w:szCs w:val="22"/>
              </w:rPr>
              <w:t>Yes</w:t>
            </w:r>
          </w:p>
        </w:tc>
        <w:tc>
          <w:tcPr>
            <w:tcW w:w="2610" w:type="dxa"/>
          </w:tcPr>
          <w:p w14:paraId="6541A4CB" w14:textId="07ED4FFA" w:rsidR="00EC43BC" w:rsidRDefault="00EC43BC" w:rsidP="00EC43BC">
            <w:pPr>
              <w:jc w:val="center"/>
              <w:rPr>
                <w:sz w:val="22"/>
                <w:szCs w:val="22"/>
              </w:rPr>
            </w:pPr>
            <w:r w:rsidRPr="00E8304E">
              <w:rPr>
                <w:color w:val="00B050"/>
                <w:sz w:val="22"/>
                <w:szCs w:val="22"/>
              </w:rPr>
              <w:t>Yes</w:t>
            </w:r>
          </w:p>
        </w:tc>
        <w:tc>
          <w:tcPr>
            <w:tcW w:w="2271" w:type="dxa"/>
          </w:tcPr>
          <w:p w14:paraId="225BDF82" w14:textId="4B928586" w:rsidR="00EC43BC" w:rsidRDefault="00EC43BC" w:rsidP="00EC43BC">
            <w:pPr>
              <w:jc w:val="center"/>
              <w:rPr>
                <w:sz w:val="22"/>
                <w:szCs w:val="22"/>
              </w:rPr>
            </w:pPr>
            <w:r w:rsidRPr="00E8304E">
              <w:rPr>
                <w:color w:val="00B050"/>
                <w:sz w:val="22"/>
                <w:szCs w:val="22"/>
              </w:rPr>
              <w:t>Yes</w:t>
            </w:r>
          </w:p>
        </w:tc>
      </w:tr>
      <w:tr w:rsidR="00B844A0" w14:paraId="01C0FDEB" w14:textId="77777777" w:rsidTr="00704AC6">
        <w:trPr>
          <w:jc w:val="center"/>
        </w:trPr>
        <w:tc>
          <w:tcPr>
            <w:tcW w:w="3824" w:type="dxa"/>
            <w:vAlign w:val="center"/>
          </w:tcPr>
          <w:p w14:paraId="6C3ACF02" w14:textId="5B9439C0" w:rsidR="00B844A0" w:rsidRDefault="00D968DA" w:rsidP="00892E4B">
            <w:pPr>
              <w:jc w:val="center"/>
              <w:rPr>
                <w:sz w:val="22"/>
                <w:szCs w:val="22"/>
              </w:rPr>
            </w:pPr>
            <w:r>
              <w:rPr>
                <w:sz w:val="22"/>
                <w:szCs w:val="22"/>
              </w:rPr>
              <w:t xml:space="preserve">Requires UE to inform NW its antenna panel management </w:t>
            </w:r>
            <w:r w:rsidR="006C2C70">
              <w:rPr>
                <w:sz w:val="22"/>
                <w:szCs w:val="22"/>
              </w:rPr>
              <w:t>decision</w:t>
            </w:r>
            <w:r w:rsidR="000A2B1B">
              <w:rPr>
                <w:sz w:val="22"/>
                <w:szCs w:val="22"/>
              </w:rPr>
              <w:t xml:space="preserve"> dynamically</w:t>
            </w:r>
          </w:p>
        </w:tc>
        <w:tc>
          <w:tcPr>
            <w:tcW w:w="1350" w:type="dxa"/>
            <w:vAlign w:val="center"/>
          </w:tcPr>
          <w:p w14:paraId="27246B8D" w14:textId="3F35589F" w:rsidR="00B844A0" w:rsidRDefault="00704AC6" w:rsidP="00892E4B">
            <w:pPr>
              <w:jc w:val="center"/>
              <w:rPr>
                <w:sz w:val="22"/>
                <w:szCs w:val="22"/>
              </w:rPr>
            </w:pPr>
            <w:r w:rsidRPr="00704AC6">
              <w:rPr>
                <w:color w:val="00B050"/>
                <w:sz w:val="22"/>
                <w:szCs w:val="22"/>
              </w:rPr>
              <w:t>No</w:t>
            </w:r>
          </w:p>
        </w:tc>
        <w:tc>
          <w:tcPr>
            <w:tcW w:w="3060" w:type="dxa"/>
            <w:vAlign w:val="center"/>
          </w:tcPr>
          <w:p w14:paraId="3B3EC263" w14:textId="38500E2A" w:rsidR="00B844A0" w:rsidRDefault="00704AC6" w:rsidP="00892E4B">
            <w:pPr>
              <w:jc w:val="center"/>
              <w:rPr>
                <w:sz w:val="22"/>
                <w:szCs w:val="22"/>
              </w:rPr>
            </w:pPr>
            <w:r w:rsidRPr="00704AC6">
              <w:rPr>
                <w:color w:val="FF0000"/>
                <w:sz w:val="22"/>
                <w:szCs w:val="22"/>
              </w:rPr>
              <w:t>Potentially</w:t>
            </w:r>
          </w:p>
        </w:tc>
        <w:tc>
          <w:tcPr>
            <w:tcW w:w="2610" w:type="dxa"/>
            <w:vAlign w:val="center"/>
          </w:tcPr>
          <w:p w14:paraId="71B41259" w14:textId="7C95A8D2" w:rsidR="00B844A0" w:rsidRDefault="00704AC6" w:rsidP="00892E4B">
            <w:pPr>
              <w:jc w:val="center"/>
              <w:rPr>
                <w:sz w:val="22"/>
                <w:szCs w:val="22"/>
              </w:rPr>
            </w:pPr>
            <w:r w:rsidRPr="00704AC6">
              <w:rPr>
                <w:color w:val="00B050"/>
                <w:sz w:val="22"/>
                <w:szCs w:val="22"/>
              </w:rPr>
              <w:t>No</w:t>
            </w:r>
          </w:p>
        </w:tc>
        <w:tc>
          <w:tcPr>
            <w:tcW w:w="2271" w:type="dxa"/>
            <w:vAlign w:val="center"/>
          </w:tcPr>
          <w:p w14:paraId="2430DDFD" w14:textId="147A710F" w:rsidR="00B844A0" w:rsidRDefault="00704AC6" w:rsidP="00892E4B">
            <w:pPr>
              <w:jc w:val="center"/>
              <w:rPr>
                <w:sz w:val="22"/>
                <w:szCs w:val="22"/>
              </w:rPr>
            </w:pPr>
            <w:r w:rsidRPr="00704AC6">
              <w:rPr>
                <w:color w:val="00B050"/>
                <w:sz w:val="22"/>
                <w:szCs w:val="22"/>
              </w:rPr>
              <w:t>No</w:t>
            </w:r>
          </w:p>
        </w:tc>
      </w:tr>
      <w:tr w:rsidR="00B844A0" w14:paraId="1440D6AA" w14:textId="77777777" w:rsidTr="00704AC6">
        <w:trPr>
          <w:jc w:val="center"/>
        </w:trPr>
        <w:tc>
          <w:tcPr>
            <w:tcW w:w="3824" w:type="dxa"/>
            <w:vAlign w:val="center"/>
          </w:tcPr>
          <w:p w14:paraId="63D9CD07" w14:textId="77777777" w:rsidR="00B844A0" w:rsidRDefault="00B844A0" w:rsidP="00892E4B">
            <w:pPr>
              <w:jc w:val="center"/>
              <w:rPr>
                <w:sz w:val="22"/>
                <w:szCs w:val="22"/>
              </w:rPr>
            </w:pPr>
          </w:p>
        </w:tc>
        <w:tc>
          <w:tcPr>
            <w:tcW w:w="1350" w:type="dxa"/>
            <w:vAlign w:val="center"/>
          </w:tcPr>
          <w:p w14:paraId="359B6947" w14:textId="77777777" w:rsidR="00B844A0" w:rsidRDefault="00B844A0" w:rsidP="00892E4B">
            <w:pPr>
              <w:jc w:val="center"/>
              <w:rPr>
                <w:sz w:val="22"/>
                <w:szCs w:val="22"/>
              </w:rPr>
            </w:pPr>
          </w:p>
        </w:tc>
        <w:tc>
          <w:tcPr>
            <w:tcW w:w="3060" w:type="dxa"/>
            <w:vAlign w:val="center"/>
          </w:tcPr>
          <w:p w14:paraId="26228A35" w14:textId="77777777" w:rsidR="00B844A0" w:rsidRDefault="00B844A0" w:rsidP="00892E4B">
            <w:pPr>
              <w:jc w:val="center"/>
              <w:rPr>
                <w:sz w:val="22"/>
                <w:szCs w:val="22"/>
              </w:rPr>
            </w:pPr>
          </w:p>
        </w:tc>
        <w:tc>
          <w:tcPr>
            <w:tcW w:w="2610" w:type="dxa"/>
            <w:vAlign w:val="center"/>
          </w:tcPr>
          <w:p w14:paraId="161CDCB0" w14:textId="77777777" w:rsidR="00B844A0" w:rsidRDefault="00B844A0" w:rsidP="00892E4B">
            <w:pPr>
              <w:jc w:val="center"/>
              <w:rPr>
                <w:sz w:val="22"/>
                <w:szCs w:val="22"/>
              </w:rPr>
            </w:pPr>
          </w:p>
        </w:tc>
        <w:tc>
          <w:tcPr>
            <w:tcW w:w="2271" w:type="dxa"/>
            <w:vAlign w:val="center"/>
          </w:tcPr>
          <w:p w14:paraId="6C4AFFB6" w14:textId="77777777" w:rsidR="00B844A0" w:rsidRDefault="00B844A0" w:rsidP="00892E4B">
            <w:pPr>
              <w:jc w:val="center"/>
              <w:rPr>
                <w:sz w:val="22"/>
                <w:szCs w:val="22"/>
              </w:rPr>
            </w:pPr>
          </w:p>
        </w:tc>
      </w:tr>
    </w:tbl>
    <w:p w14:paraId="66D3EA2F" w14:textId="77777777" w:rsidR="006D0B1B" w:rsidRDefault="006D0B1B" w:rsidP="004311DF">
      <w:pPr>
        <w:rPr>
          <w:sz w:val="22"/>
          <w:szCs w:val="22"/>
        </w:rPr>
      </w:pPr>
    </w:p>
    <w:p w14:paraId="2EFFA924" w14:textId="6A6AC94F" w:rsidR="0089508A" w:rsidRDefault="008B70F0" w:rsidP="00C66E63">
      <w:r>
        <w:t xml:space="preserve">Table 1 compares different alt. </w:t>
      </w:r>
      <w:r w:rsidR="00D45964">
        <w:t xml:space="preserve">for feature 2-28. </w:t>
      </w:r>
      <w:r w:rsidR="008E4CA5">
        <w:t>From our view, i</w:t>
      </w:r>
      <w:r w:rsidR="00365B20">
        <w:t xml:space="preserve">t is acceptable to introduce longer </w:t>
      </w:r>
      <w:r w:rsidR="008E4CA5">
        <w:t>offset</w:t>
      </w:r>
      <w:r w:rsidR="00365B20">
        <w:t xml:space="preserve"> of 224/336 </w:t>
      </w:r>
      <w:r w:rsidR="00CA40BE">
        <w:t>symbols</w:t>
      </w:r>
      <w:r w:rsidR="002175DB">
        <w:t xml:space="preserve"> in order to support the UE implementation that exploits the dynamic antenna panel activation and deactivation for power saving. However, we prefer the design to be semi-static, i.e. Alt 4. </w:t>
      </w:r>
      <w:r w:rsidR="00986A07">
        <w:t>On the other</w:t>
      </w:r>
      <w:r w:rsidR="003177EB">
        <w:t xml:space="preserve"> </w:t>
      </w:r>
      <w:r w:rsidR="00986A07">
        <w:t xml:space="preserve">side, </w:t>
      </w:r>
      <w:r w:rsidR="002175DB">
        <w:t>Alt 2. only covers the capability signalling part, but is not a complete solution</w:t>
      </w:r>
      <w:r w:rsidR="001E0902">
        <w:t xml:space="preserve">. </w:t>
      </w:r>
      <w:r w:rsidR="005003DC">
        <w:t xml:space="preserve">More importantly, Alt. 2 may require further </w:t>
      </w:r>
      <w:r w:rsidR="00A805CE">
        <w:t>NR change for UE to dynamically inform gNB its antenna panel management decision. This</w:t>
      </w:r>
      <w:r w:rsidR="0089508A">
        <w:t xml:space="preserve"> requirement may cause </w:t>
      </w:r>
      <w:r w:rsidR="00911503">
        <w:t>multiple</w:t>
      </w:r>
      <w:r w:rsidR="0089508A">
        <w:t xml:space="preserve"> issues including the reliability of those messages and the additional latency involved.</w:t>
      </w:r>
    </w:p>
    <w:p w14:paraId="6206F13E" w14:textId="77777777" w:rsidR="0089508A" w:rsidRDefault="0089508A" w:rsidP="00C66E63"/>
    <w:p w14:paraId="39AACB49" w14:textId="77777777" w:rsidR="0089508A" w:rsidRDefault="0089508A" w:rsidP="00C66E63">
      <w:r>
        <w:t>In summary, we propose to adopt Alt 4. for feature 2-28.</w:t>
      </w:r>
    </w:p>
    <w:p w14:paraId="3C841B5B" w14:textId="77777777" w:rsidR="0089508A" w:rsidRDefault="0089508A" w:rsidP="00C66E63"/>
    <w:p w14:paraId="3E2E16FD" w14:textId="1DB9DC47" w:rsidR="00ED01F1" w:rsidRDefault="0089508A" w:rsidP="0089508A">
      <w:pPr>
        <w:rPr>
          <w:sz w:val="22"/>
          <w:szCs w:val="22"/>
        </w:rPr>
      </w:pPr>
      <w:r>
        <w:rPr>
          <w:rFonts w:eastAsia="SimSun"/>
          <w:b/>
          <w:bCs/>
          <w:i/>
          <w:sz w:val="22"/>
          <w:szCs w:val="22"/>
          <w:u w:val="single"/>
        </w:rPr>
        <w:t>Proposal</w:t>
      </w:r>
      <w:r w:rsidRPr="0083483D">
        <w:rPr>
          <w:rFonts w:eastAsia="SimSun"/>
          <w:b/>
          <w:bCs/>
          <w:i/>
          <w:sz w:val="22"/>
          <w:szCs w:val="22"/>
          <w:u w:val="single"/>
        </w:rPr>
        <w:t xml:space="preserve"> </w:t>
      </w:r>
      <w:r>
        <w:rPr>
          <w:rFonts w:eastAsia="SimSun"/>
          <w:b/>
          <w:bCs/>
          <w:i/>
          <w:sz w:val="22"/>
          <w:szCs w:val="22"/>
          <w:u w:val="single"/>
        </w:rPr>
        <w:t>2</w:t>
      </w:r>
      <w:r w:rsidRPr="00CD41CD">
        <w:rPr>
          <w:rFonts w:eastAsia="SimSun"/>
          <w:bCs/>
          <w:i/>
          <w:szCs w:val="22"/>
        </w:rPr>
        <w:t xml:space="preserve">: </w:t>
      </w:r>
      <w:r>
        <w:rPr>
          <w:rFonts w:eastAsia="SimSun"/>
          <w:b/>
          <w:i/>
          <w:sz w:val="22"/>
          <w:szCs w:val="22"/>
        </w:rPr>
        <w:t xml:space="preserve">For feature 2-28: </w:t>
      </w:r>
      <w:r w:rsidRPr="00ED01F1">
        <w:rPr>
          <w:rFonts w:eastAsia="SimSun"/>
          <w:b/>
          <w:i/>
          <w:sz w:val="22"/>
          <w:szCs w:val="22"/>
        </w:rPr>
        <w:t>A-CSI-RS beam switching timing</w:t>
      </w:r>
      <w:r>
        <w:rPr>
          <w:rFonts w:eastAsia="SimSun"/>
          <w:b/>
          <w:i/>
          <w:sz w:val="22"/>
          <w:szCs w:val="22"/>
        </w:rPr>
        <w:t xml:space="preserve">, </w:t>
      </w:r>
      <w:r w:rsidR="00ED01F1">
        <w:rPr>
          <w:rFonts w:eastAsia="SimSun"/>
          <w:b/>
          <w:i/>
          <w:sz w:val="22"/>
          <w:szCs w:val="22"/>
        </w:rPr>
        <w:t xml:space="preserve">NR supports UE capability signalling with option </w:t>
      </w:r>
      <w:r w:rsidR="00ED01F1" w:rsidRPr="00ED01F1">
        <w:rPr>
          <w:rFonts w:eastAsia="SimSun" w:hint="eastAsia"/>
          <w:b/>
          <w:i/>
          <w:sz w:val="22"/>
          <w:szCs w:val="22"/>
        </w:rPr>
        <w:t>Alt.4: {14, 28, 48, 224, 336}</w:t>
      </w:r>
      <w:r w:rsidR="00ED01F1" w:rsidRPr="00ED01F1">
        <w:rPr>
          <w:rFonts w:eastAsia="SimSun"/>
          <w:b/>
          <w:i/>
          <w:sz w:val="22"/>
          <w:szCs w:val="22"/>
        </w:rPr>
        <w:t>.</w:t>
      </w:r>
    </w:p>
    <w:p w14:paraId="3A56AA87" w14:textId="4713BEC5" w:rsidR="00C66E63" w:rsidRDefault="002175DB" w:rsidP="00C66E63">
      <w:r>
        <w:t xml:space="preserve"> </w:t>
      </w:r>
      <w:r w:rsidR="00365B20">
        <w:t xml:space="preserve"> </w:t>
      </w:r>
      <w:r w:rsidR="008B70F0">
        <w:t xml:space="preserve"> </w:t>
      </w:r>
    </w:p>
    <w:p w14:paraId="2896E657" w14:textId="2DF29AD0" w:rsidR="00854A60" w:rsidRPr="00FB330B" w:rsidRDefault="009C5A97" w:rsidP="00FB330B">
      <w:pPr>
        <w:pStyle w:val="Heading1"/>
      </w:pPr>
      <w:r w:rsidRPr="00FB330B">
        <w:t>Conclusion</w:t>
      </w:r>
    </w:p>
    <w:p w14:paraId="3883FE15" w14:textId="77777777" w:rsidR="00F43354" w:rsidRDefault="00F43354" w:rsidP="00F43354">
      <w:pPr>
        <w:jc w:val="both"/>
        <w:rPr>
          <w:rFonts w:eastAsia="MS Mincho"/>
          <w:sz w:val="22"/>
          <w:szCs w:val="22"/>
          <w:lang w:eastAsia="ja-JP"/>
        </w:rPr>
      </w:pPr>
      <w:r>
        <w:rPr>
          <w:rFonts w:eastAsia="MS Mincho"/>
          <w:sz w:val="22"/>
          <w:szCs w:val="22"/>
          <w:lang w:eastAsia="ja-JP"/>
        </w:rPr>
        <w:t xml:space="preserve">In this contribution, we provide our view on two features in the NR UE feature list, </w:t>
      </w:r>
    </w:p>
    <w:p w14:paraId="3AB74ACA" w14:textId="77777777" w:rsidR="00F43354" w:rsidRDefault="00F43354" w:rsidP="00F43354">
      <w:pPr>
        <w:jc w:val="both"/>
        <w:rPr>
          <w:rFonts w:eastAsia="MS Mincho"/>
          <w:sz w:val="22"/>
          <w:szCs w:val="22"/>
          <w:lang w:eastAsia="ja-JP"/>
        </w:rPr>
      </w:pPr>
    </w:p>
    <w:p w14:paraId="24BCF516" w14:textId="77777777" w:rsidR="00F43354" w:rsidRPr="000E3B59" w:rsidRDefault="00F43354" w:rsidP="00F43354">
      <w:pPr>
        <w:pStyle w:val="ListParagraph"/>
        <w:numPr>
          <w:ilvl w:val="0"/>
          <w:numId w:val="36"/>
        </w:numPr>
        <w:jc w:val="both"/>
        <w:rPr>
          <w:rFonts w:ascii="Times New Roman" w:eastAsia="MS Mincho" w:hAnsi="Times New Roman"/>
          <w:lang w:eastAsia="ja-JP"/>
        </w:rPr>
      </w:pPr>
      <w:r w:rsidRPr="000E3B59">
        <w:rPr>
          <w:rFonts w:ascii="Times New Roman" w:eastAsia="MS Mincho" w:hAnsi="Times New Roman"/>
          <w:lang w:eastAsia="ja-JP"/>
        </w:rPr>
        <w:t>Feature 2-20: Beam correspondence</w:t>
      </w:r>
    </w:p>
    <w:p w14:paraId="00130E55" w14:textId="77777777" w:rsidR="00F43354" w:rsidRPr="00D97697" w:rsidRDefault="00F43354" w:rsidP="00F43354">
      <w:pPr>
        <w:pStyle w:val="ListParagraph"/>
        <w:numPr>
          <w:ilvl w:val="0"/>
          <w:numId w:val="36"/>
        </w:numPr>
        <w:jc w:val="both"/>
        <w:rPr>
          <w:rFonts w:ascii="Times New Roman" w:eastAsia="MS Mincho" w:hAnsi="Times New Roman"/>
          <w:lang w:eastAsia="ja-JP"/>
        </w:rPr>
      </w:pPr>
      <w:r w:rsidRPr="000E3B59">
        <w:rPr>
          <w:rFonts w:ascii="Times New Roman" w:eastAsia="MS Mincho" w:hAnsi="Times New Roman"/>
          <w:lang w:eastAsia="ja-JP"/>
        </w:rPr>
        <w:t>Feature 2-28: A-CSI-RS beam switching timing</w:t>
      </w:r>
    </w:p>
    <w:p w14:paraId="31745016" w14:textId="77777777" w:rsidR="00E32950" w:rsidRDefault="00E32950" w:rsidP="000A1967">
      <w:pPr>
        <w:rPr>
          <w:rFonts w:eastAsia="MS Mincho"/>
          <w:sz w:val="22"/>
          <w:szCs w:val="22"/>
          <w:lang w:eastAsia="ja-JP"/>
        </w:rPr>
      </w:pPr>
    </w:p>
    <w:p w14:paraId="56311B75" w14:textId="612D173D" w:rsidR="00E32950" w:rsidRDefault="003031F8" w:rsidP="000A1967">
      <w:pPr>
        <w:rPr>
          <w:rFonts w:eastAsia="MS Mincho"/>
          <w:sz w:val="22"/>
          <w:szCs w:val="22"/>
          <w:lang w:eastAsia="ja-JP"/>
        </w:rPr>
      </w:pPr>
      <w:r>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02EBFA0D" w14:textId="77777777" w:rsidR="00461C75" w:rsidRPr="00E53448" w:rsidRDefault="00461C75" w:rsidP="00461C75">
      <w:pPr>
        <w:rPr>
          <w:rFonts w:eastAsia="SimSun"/>
          <w:b/>
          <w:i/>
          <w:sz w:val="22"/>
          <w:szCs w:val="22"/>
        </w:rPr>
      </w:pPr>
      <w:r>
        <w:rPr>
          <w:rFonts w:eastAsia="SimSun"/>
          <w:b/>
          <w:bCs/>
          <w:i/>
          <w:sz w:val="22"/>
          <w:szCs w:val="22"/>
          <w:u w:val="single"/>
        </w:rPr>
        <w:t>Proposal</w:t>
      </w:r>
      <w:r w:rsidRPr="0083483D">
        <w:rPr>
          <w:rFonts w:eastAsia="SimSun"/>
          <w:b/>
          <w:bCs/>
          <w:i/>
          <w:sz w:val="22"/>
          <w:szCs w:val="22"/>
          <w:u w:val="single"/>
        </w:rPr>
        <w:t xml:space="preserve"> </w:t>
      </w:r>
      <w:r>
        <w:rPr>
          <w:rFonts w:eastAsia="SimSun"/>
          <w:b/>
          <w:bCs/>
          <w:i/>
          <w:sz w:val="22"/>
          <w:szCs w:val="22"/>
          <w:u w:val="single"/>
        </w:rPr>
        <w:t>1</w:t>
      </w:r>
      <w:r w:rsidRPr="00CD41CD">
        <w:rPr>
          <w:rFonts w:eastAsia="SimSun"/>
          <w:bCs/>
          <w:i/>
          <w:szCs w:val="22"/>
        </w:rPr>
        <w:t xml:space="preserve">: </w:t>
      </w:r>
      <w:r>
        <w:rPr>
          <w:rFonts w:eastAsia="SimSun"/>
          <w:b/>
          <w:i/>
          <w:sz w:val="22"/>
          <w:szCs w:val="22"/>
        </w:rPr>
        <w:t>For feature 2-20: beam correspondence, RAN1 decides on “mandatory”, “mandatory with capability signalling” or “optional” after RAN4 finalizes the RF requirement for beam correspondence.</w:t>
      </w:r>
    </w:p>
    <w:p w14:paraId="4FE48377" w14:textId="77777777" w:rsidR="00184A9B" w:rsidRDefault="00184A9B" w:rsidP="00B1677C">
      <w:pPr>
        <w:rPr>
          <w:rFonts w:eastAsia="SimSun"/>
          <w:b/>
          <w:bCs/>
          <w:i/>
          <w:sz w:val="22"/>
          <w:szCs w:val="22"/>
          <w:u w:val="single"/>
        </w:rPr>
      </w:pPr>
    </w:p>
    <w:p w14:paraId="4470824C" w14:textId="7E445DF1" w:rsidR="00ED01F1" w:rsidRDefault="00ED01F1" w:rsidP="00ED01F1">
      <w:pPr>
        <w:rPr>
          <w:sz w:val="22"/>
          <w:szCs w:val="22"/>
        </w:rPr>
      </w:pPr>
      <w:r>
        <w:rPr>
          <w:rFonts w:eastAsia="SimSun"/>
          <w:b/>
          <w:bCs/>
          <w:i/>
          <w:sz w:val="22"/>
          <w:szCs w:val="22"/>
          <w:u w:val="single"/>
        </w:rPr>
        <w:t>Proposal</w:t>
      </w:r>
      <w:r w:rsidRPr="0083483D">
        <w:rPr>
          <w:rFonts w:eastAsia="SimSun"/>
          <w:b/>
          <w:bCs/>
          <w:i/>
          <w:sz w:val="22"/>
          <w:szCs w:val="22"/>
          <w:u w:val="single"/>
        </w:rPr>
        <w:t xml:space="preserve"> </w:t>
      </w:r>
      <w:r>
        <w:rPr>
          <w:rFonts w:eastAsia="SimSun"/>
          <w:b/>
          <w:bCs/>
          <w:i/>
          <w:sz w:val="22"/>
          <w:szCs w:val="22"/>
          <w:u w:val="single"/>
        </w:rPr>
        <w:t>2</w:t>
      </w:r>
      <w:r w:rsidRPr="00CD41CD">
        <w:rPr>
          <w:rFonts w:eastAsia="SimSun"/>
          <w:bCs/>
          <w:i/>
          <w:szCs w:val="22"/>
        </w:rPr>
        <w:t xml:space="preserve">: </w:t>
      </w:r>
      <w:r>
        <w:rPr>
          <w:rFonts w:eastAsia="SimSun"/>
          <w:b/>
          <w:i/>
          <w:sz w:val="22"/>
          <w:szCs w:val="22"/>
        </w:rPr>
        <w:t xml:space="preserve">For feature 2-28: </w:t>
      </w:r>
      <w:r w:rsidRPr="00ED01F1">
        <w:rPr>
          <w:rFonts w:eastAsia="SimSun"/>
          <w:b/>
          <w:i/>
          <w:sz w:val="22"/>
          <w:szCs w:val="22"/>
        </w:rPr>
        <w:t>A-CSI-RS beam switching timing</w:t>
      </w:r>
      <w:r>
        <w:rPr>
          <w:rFonts w:eastAsia="SimSun"/>
          <w:b/>
          <w:i/>
          <w:sz w:val="22"/>
          <w:szCs w:val="22"/>
        </w:rPr>
        <w:t xml:space="preserve">, NR supports UE capability signalling with option </w:t>
      </w:r>
      <w:r w:rsidRPr="00ED01F1">
        <w:rPr>
          <w:rFonts w:eastAsia="SimSun" w:hint="eastAsia"/>
          <w:b/>
          <w:i/>
          <w:sz w:val="22"/>
          <w:szCs w:val="22"/>
        </w:rPr>
        <w:t>Alt.4: {14, 28, 48, 224, 336}</w:t>
      </w:r>
      <w:r w:rsidRPr="00ED01F1">
        <w:rPr>
          <w:rFonts w:eastAsia="SimSun"/>
          <w:b/>
          <w:i/>
          <w:sz w:val="22"/>
          <w:szCs w:val="22"/>
        </w:rPr>
        <w:t>.</w:t>
      </w:r>
    </w:p>
    <w:p w14:paraId="1CC17349" w14:textId="77777777" w:rsidR="00ED01F1" w:rsidRDefault="00ED01F1" w:rsidP="00B1677C">
      <w:pPr>
        <w:rPr>
          <w:rFonts w:eastAsia="SimSun"/>
          <w:b/>
          <w:bCs/>
          <w:i/>
          <w:sz w:val="22"/>
          <w:szCs w:val="22"/>
          <w:u w:val="single"/>
        </w:rPr>
      </w:pPr>
    </w:p>
    <w:p w14:paraId="2E75F001" w14:textId="77777777" w:rsidR="007E70BB" w:rsidRPr="007E70BB" w:rsidRDefault="005C63AE" w:rsidP="007E70BB">
      <w:pPr>
        <w:pStyle w:val="Heading1"/>
      </w:pPr>
      <w:r>
        <w:t>References</w:t>
      </w:r>
    </w:p>
    <w:p w14:paraId="5D8E9FC4" w14:textId="77777777" w:rsidR="0076023F" w:rsidRDefault="00925110" w:rsidP="0092511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2" w:name="_Ref485064906"/>
      <w:r w:rsidRPr="00925110">
        <w:rPr>
          <w:sz w:val="22"/>
          <w:szCs w:val="22"/>
        </w:rPr>
        <w:t>RP-181449</w:t>
      </w:r>
      <w:r>
        <w:rPr>
          <w:sz w:val="22"/>
          <w:szCs w:val="22"/>
        </w:rPr>
        <w:t>, “</w:t>
      </w:r>
      <w:r w:rsidRPr="00925110">
        <w:rPr>
          <w:sz w:val="22"/>
          <w:szCs w:val="22"/>
        </w:rPr>
        <w:t>RAN1 NR UE feature list</w:t>
      </w:r>
      <w:r>
        <w:rPr>
          <w:sz w:val="22"/>
          <w:szCs w:val="22"/>
        </w:rPr>
        <w:t xml:space="preserve">”, </w:t>
      </w:r>
      <w:r w:rsidR="000F5184">
        <w:rPr>
          <w:sz w:val="22"/>
          <w:szCs w:val="22"/>
        </w:rPr>
        <w:t>3GPP RAN#8</w:t>
      </w:r>
      <w:r>
        <w:rPr>
          <w:sz w:val="22"/>
          <w:szCs w:val="22"/>
        </w:rPr>
        <w:t>0</w:t>
      </w:r>
      <w:r w:rsidR="000F5184">
        <w:rPr>
          <w:sz w:val="22"/>
          <w:szCs w:val="22"/>
        </w:rPr>
        <w:t xml:space="preserve">, </w:t>
      </w:r>
      <w:bookmarkEnd w:id="2"/>
      <w:r w:rsidRPr="00925110">
        <w:fldChar w:fldCharType="begin"/>
      </w:r>
      <w:r w:rsidRPr="00925110">
        <w:instrText xml:space="preserve"> HYPERLINK "http://www.3gpp.org/ftp/TSG_RAN/TSG_RAN/TSGR_80/Invitation/" \t "_blank" </w:instrText>
      </w:r>
      <w:r w:rsidRPr="00925110">
        <w:fldChar w:fldCharType="separate"/>
      </w:r>
      <w:r w:rsidRPr="00925110">
        <w:rPr>
          <w:sz w:val="22"/>
          <w:szCs w:val="22"/>
        </w:rPr>
        <w:t>La Jolla, CA</w:t>
      </w:r>
      <w:r w:rsidRPr="00925110">
        <w:fldChar w:fldCharType="end"/>
      </w:r>
      <w:r w:rsidRPr="00925110">
        <w:t>, June</w:t>
      </w:r>
      <w:r w:rsidRPr="00925110">
        <w:rPr>
          <w:sz w:val="22"/>
          <w:szCs w:val="22"/>
        </w:rPr>
        <w:t xml:space="preserve"> </w:t>
      </w:r>
      <w:r w:rsidRPr="00925110">
        <w:t>11</w:t>
      </w:r>
      <w:r w:rsidRPr="00925110">
        <w:rPr>
          <w:sz w:val="22"/>
          <w:szCs w:val="22"/>
        </w:rPr>
        <w:t>th-</w:t>
      </w:r>
      <w:r w:rsidRPr="00925110">
        <w:t>14</w:t>
      </w:r>
      <w:r w:rsidRPr="00925110">
        <w:rPr>
          <w:sz w:val="22"/>
          <w:szCs w:val="22"/>
        </w:rPr>
        <w:t>th</w:t>
      </w:r>
      <w:r w:rsidR="00E13163">
        <w:rPr>
          <w:sz w:val="22"/>
          <w:szCs w:val="22"/>
        </w:rPr>
        <w:t>, 2018</w:t>
      </w:r>
      <w:r w:rsidR="00283894">
        <w:rPr>
          <w:sz w:val="22"/>
          <w:szCs w:val="22"/>
        </w:rPr>
        <w:t>, NTT DO</w:t>
      </w:r>
      <w:r>
        <w:rPr>
          <w:sz w:val="22"/>
          <w:szCs w:val="22"/>
        </w:rPr>
        <w:t>C</w:t>
      </w:r>
      <w:r w:rsidR="00283894">
        <w:rPr>
          <w:sz w:val="22"/>
          <w:szCs w:val="22"/>
        </w:rPr>
        <w:t>OMO</w:t>
      </w:r>
      <w:r>
        <w:rPr>
          <w:sz w:val="22"/>
          <w:szCs w:val="22"/>
        </w:rPr>
        <w:t>, ATT</w:t>
      </w:r>
    </w:p>
    <w:p w14:paraId="2FB8BBC2" w14:textId="77777777" w:rsidR="00E01A94" w:rsidRDefault="0076023F" w:rsidP="00E01A94">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E01A94">
        <w:rPr>
          <w:sz w:val="22"/>
          <w:szCs w:val="22"/>
        </w:rPr>
        <w:t>R4-1805703, “WF on beam correspondence test methodology at FR2”, 3GPP TSG-RAN WG4 #86BIS Meeting</w:t>
      </w:r>
      <w:r w:rsidRPr="00E01A94">
        <w:rPr>
          <w:sz w:val="22"/>
          <w:szCs w:val="22"/>
        </w:rPr>
        <w:br/>
        <w:t>Melbourne, Australia, 16 - 20 April 2018</w:t>
      </w:r>
    </w:p>
    <w:p w14:paraId="5F3C12B4" w14:textId="5D07DD6A" w:rsidR="00E01A94" w:rsidRDefault="00E01A94" w:rsidP="00E01A94">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E01A94">
        <w:rPr>
          <w:sz w:val="22"/>
          <w:szCs w:val="22"/>
        </w:rPr>
        <w:t xml:space="preserve">3GPP </w:t>
      </w:r>
      <w:r w:rsidR="0013216D" w:rsidRPr="00E01A94">
        <w:rPr>
          <w:sz w:val="22"/>
          <w:szCs w:val="22"/>
        </w:rPr>
        <w:t>38.331</w:t>
      </w:r>
      <w:r w:rsidR="008204E5" w:rsidRPr="00E01A94">
        <w:rPr>
          <w:sz w:val="22"/>
          <w:szCs w:val="22"/>
        </w:rPr>
        <w:t>, “</w:t>
      </w:r>
      <w:r w:rsidRPr="00E01A94">
        <w:rPr>
          <w:sz w:val="22"/>
          <w:szCs w:val="22"/>
        </w:rPr>
        <w:t>Radio Resource Control (RRC) protocol specification”, v15.2.1 (2018-06)</w:t>
      </w:r>
    </w:p>
    <w:p w14:paraId="62D1A026" w14:textId="0C185AE8" w:rsidR="005F5616" w:rsidRDefault="005F5616" w:rsidP="00666DB4">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5F5616">
        <w:rPr>
          <w:sz w:val="22"/>
          <w:szCs w:val="22"/>
        </w:rPr>
        <w:t>R1-1807898, “LS on Lead Time for Beam Switching”, 3GPP TSG-RAN WG1 RAN1#93, Busan, Korea, May 21st – 25th, 2018</w:t>
      </w:r>
    </w:p>
    <w:p w14:paraId="4DBA37DC" w14:textId="2D448B2D" w:rsidR="0042546A" w:rsidRDefault="0042546A" w:rsidP="0042546A">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42546A">
        <w:rPr>
          <w:rFonts w:hint="eastAsia"/>
          <w:sz w:val="22"/>
          <w:szCs w:val="22"/>
        </w:rPr>
        <w:t>RP-181439</w:t>
      </w:r>
      <w:r w:rsidRPr="0042546A">
        <w:rPr>
          <w:sz w:val="22"/>
          <w:szCs w:val="22"/>
        </w:rPr>
        <w:t xml:space="preserve">, “Summary of offline discussion on RAN1 NR UE features”, </w:t>
      </w:r>
      <w:r w:rsidRPr="0042546A">
        <w:rPr>
          <w:rFonts w:hint="eastAsia"/>
          <w:sz w:val="22"/>
          <w:szCs w:val="22"/>
        </w:rPr>
        <w:t>3GPP TSG RAN Meeting #80</w:t>
      </w:r>
      <w:r w:rsidRPr="0042546A">
        <w:rPr>
          <w:sz w:val="22"/>
          <w:szCs w:val="22"/>
        </w:rPr>
        <w:t xml:space="preserve">, </w:t>
      </w:r>
      <w:r w:rsidRPr="0042546A">
        <w:rPr>
          <w:rFonts w:hint="eastAsia"/>
          <w:sz w:val="22"/>
          <w:szCs w:val="22"/>
        </w:rPr>
        <w:t>La Jolla, USA, June 11 - 14, 2018</w:t>
      </w:r>
    </w:p>
    <w:p w14:paraId="431F29F9" w14:textId="5BE5819D" w:rsidR="00144A2C" w:rsidRDefault="00144A2C" w:rsidP="00144A2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E01A94">
        <w:rPr>
          <w:sz w:val="22"/>
          <w:szCs w:val="22"/>
        </w:rPr>
        <w:t>3GPP 38.</w:t>
      </w:r>
      <w:r>
        <w:rPr>
          <w:sz w:val="22"/>
          <w:szCs w:val="22"/>
        </w:rPr>
        <w:t>214</w:t>
      </w:r>
      <w:r w:rsidRPr="00E01A94">
        <w:rPr>
          <w:sz w:val="22"/>
          <w:szCs w:val="22"/>
        </w:rPr>
        <w:t xml:space="preserve">, </w:t>
      </w:r>
      <w:r w:rsidR="00FC4F6C" w:rsidRPr="0042546A">
        <w:rPr>
          <w:sz w:val="22"/>
          <w:szCs w:val="22"/>
        </w:rPr>
        <w:t>“</w:t>
      </w:r>
      <w:r w:rsidRPr="00144A2C">
        <w:rPr>
          <w:sz w:val="22"/>
          <w:szCs w:val="22"/>
        </w:rPr>
        <w:t>Physical layer procedures for</w:t>
      </w:r>
      <w:r>
        <w:rPr>
          <w:sz w:val="22"/>
          <w:szCs w:val="22"/>
        </w:rPr>
        <w:t xml:space="preserve"> data</w:t>
      </w:r>
      <w:r w:rsidR="00FC4F6C" w:rsidRPr="0042546A">
        <w:rPr>
          <w:sz w:val="22"/>
          <w:szCs w:val="22"/>
        </w:rPr>
        <w:t xml:space="preserve">”, </w:t>
      </w:r>
      <w:r>
        <w:rPr>
          <w:sz w:val="22"/>
          <w:szCs w:val="22"/>
        </w:rPr>
        <w:t>v</w:t>
      </w:r>
      <w:r w:rsidRPr="00144A2C">
        <w:rPr>
          <w:sz w:val="22"/>
          <w:szCs w:val="22"/>
        </w:rPr>
        <w:t>15.2.0 (2018-06)</w:t>
      </w:r>
    </w:p>
    <w:p w14:paraId="224F801B" w14:textId="77777777" w:rsidR="0076023F" w:rsidRPr="0076023F" w:rsidRDefault="0076023F" w:rsidP="0076023F">
      <w:pPr>
        <w:overflowPunct w:val="0"/>
        <w:autoSpaceDE w:val="0"/>
        <w:autoSpaceDN w:val="0"/>
        <w:adjustRightInd w:val="0"/>
        <w:spacing w:before="100" w:beforeAutospacing="1" w:after="100" w:afterAutospacing="1"/>
        <w:ind w:left="562"/>
        <w:textAlignment w:val="baseline"/>
        <w:rPr>
          <w:sz w:val="22"/>
          <w:szCs w:val="22"/>
        </w:rPr>
      </w:pPr>
    </w:p>
    <w:sectPr w:rsidR="0076023F" w:rsidRPr="0076023F" w:rsidSect="00AE57B5">
      <w:footerReference w:type="default" r:id="rId9"/>
      <w:footnotePr>
        <w:numRestart w:val="eachSect"/>
      </w:footnotePr>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AE819" w14:textId="77777777" w:rsidR="000D6F7A" w:rsidRDefault="000D6F7A">
      <w:r>
        <w:separator/>
      </w:r>
    </w:p>
  </w:endnote>
  <w:endnote w:type="continuationSeparator" w:id="0">
    <w:p w14:paraId="1294ADB6" w14:textId="77777777" w:rsidR="000D6F7A" w:rsidRDefault="000D6F7A">
      <w:r>
        <w:continuationSeparator/>
      </w:r>
    </w:p>
  </w:endnote>
  <w:endnote w:type="continuationNotice" w:id="1">
    <w:p w14:paraId="566CD35F" w14:textId="77777777" w:rsidR="000D6F7A" w:rsidRDefault="000D6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C94B3" w14:textId="77777777" w:rsidR="000D6F7A" w:rsidRDefault="000D6F7A">
      <w:r>
        <w:separator/>
      </w:r>
    </w:p>
  </w:footnote>
  <w:footnote w:type="continuationSeparator" w:id="0">
    <w:p w14:paraId="3BBD1226" w14:textId="77777777" w:rsidR="000D6F7A" w:rsidRDefault="000D6F7A">
      <w:r>
        <w:continuationSeparator/>
      </w:r>
    </w:p>
  </w:footnote>
  <w:footnote w:type="continuationNotice" w:id="1">
    <w:p w14:paraId="1BF0DBBF" w14:textId="77777777" w:rsidR="000D6F7A" w:rsidRDefault="000D6F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02525"/>
    <w:multiLevelType w:val="hybridMultilevel"/>
    <w:tmpl w:val="BE2C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55369"/>
    <w:multiLevelType w:val="hybridMultilevel"/>
    <w:tmpl w:val="3D8ED2F2"/>
    <w:lvl w:ilvl="0" w:tplc="17A8EB9A">
      <w:start w:val="1"/>
      <w:numFmt w:val="decimal"/>
      <w:lvlText w:val="%1."/>
      <w:lvlJc w:val="left"/>
      <w:pPr>
        <w:tabs>
          <w:tab w:val="num" w:pos="720"/>
        </w:tabs>
        <w:ind w:left="720" w:hanging="360"/>
      </w:pPr>
    </w:lvl>
    <w:lvl w:ilvl="1" w:tplc="35C06580">
      <w:start w:val="931"/>
      <w:numFmt w:val="bullet"/>
      <w:lvlText w:val=""/>
      <w:lvlJc w:val="left"/>
      <w:pPr>
        <w:tabs>
          <w:tab w:val="num" w:pos="1440"/>
        </w:tabs>
        <w:ind w:left="1440" w:hanging="360"/>
      </w:pPr>
      <w:rPr>
        <w:rFonts w:ascii="Wingdings" w:hAnsi="Wingdings" w:hint="default"/>
      </w:rPr>
    </w:lvl>
    <w:lvl w:ilvl="2" w:tplc="6416FBF6" w:tentative="1">
      <w:start w:val="1"/>
      <w:numFmt w:val="decimal"/>
      <w:lvlText w:val="%3."/>
      <w:lvlJc w:val="left"/>
      <w:pPr>
        <w:tabs>
          <w:tab w:val="num" w:pos="2160"/>
        </w:tabs>
        <w:ind w:left="2160" w:hanging="360"/>
      </w:pPr>
    </w:lvl>
    <w:lvl w:ilvl="3" w:tplc="920659FA" w:tentative="1">
      <w:start w:val="1"/>
      <w:numFmt w:val="decimal"/>
      <w:lvlText w:val="%4."/>
      <w:lvlJc w:val="left"/>
      <w:pPr>
        <w:tabs>
          <w:tab w:val="num" w:pos="2880"/>
        </w:tabs>
        <w:ind w:left="2880" w:hanging="360"/>
      </w:pPr>
    </w:lvl>
    <w:lvl w:ilvl="4" w:tplc="4FC21E2A" w:tentative="1">
      <w:start w:val="1"/>
      <w:numFmt w:val="decimal"/>
      <w:lvlText w:val="%5."/>
      <w:lvlJc w:val="left"/>
      <w:pPr>
        <w:tabs>
          <w:tab w:val="num" w:pos="3600"/>
        </w:tabs>
        <w:ind w:left="3600" w:hanging="360"/>
      </w:pPr>
    </w:lvl>
    <w:lvl w:ilvl="5" w:tplc="A9FA7C04" w:tentative="1">
      <w:start w:val="1"/>
      <w:numFmt w:val="decimal"/>
      <w:lvlText w:val="%6."/>
      <w:lvlJc w:val="left"/>
      <w:pPr>
        <w:tabs>
          <w:tab w:val="num" w:pos="4320"/>
        </w:tabs>
        <w:ind w:left="4320" w:hanging="360"/>
      </w:pPr>
    </w:lvl>
    <w:lvl w:ilvl="6" w:tplc="04EAEE32" w:tentative="1">
      <w:start w:val="1"/>
      <w:numFmt w:val="decimal"/>
      <w:lvlText w:val="%7."/>
      <w:lvlJc w:val="left"/>
      <w:pPr>
        <w:tabs>
          <w:tab w:val="num" w:pos="5040"/>
        </w:tabs>
        <w:ind w:left="5040" w:hanging="360"/>
      </w:pPr>
    </w:lvl>
    <w:lvl w:ilvl="7" w:tplc="AA54EA90" w:tentative="1">
      <w:start w:val="1"/>
      <w:numFmt w:val="decimal"/>
      <w:lvlText w:val="%8."/>
      <w:lvlJc w:val="left"/>
      <w:pPr>
        <w:tabs>
          <w:tab w:val="num" w:pos="5760"/>
        </w:tabs>
        <w:ind w:left="5760" w:hanging="360"/>
      </w:pPr>
    </w:lvl>
    <w:lvl w:ilvl="8" w:tplc="3F0E6F2E" w:tentative="1">
      <w:start w:val="1"/>
      <w:numFmt w:val="decimal"/>
      <w:lvlText w:val="%9."/>
      <w:lvlJc w:val="left"/>
      <w:pPr>
        <w:tabs>
          <w:tab w:val="num" w:pos="6480"/>
        </w:tabs>
        <w:ind w:left="6480" w:hanging="360"/>
      </w:pPr>
    </w:lvl>
  </w:abstractNum>
  <w:abstractNum w:abstractNumId="6"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CE6A7D"/>
    <w:multiLevelType w:val="hybridMultilevel"/>
    <w:tmpl w:val="AB0C6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873C0"/>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54415D"/>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1423DA"/>
    <w:multiLevelType w:val="hybridMultilevel"/>
    <w:tmpl w:val="12E2E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057DEC"/>
    <w:multiLevelType w:val="hybridMultilevel"/>
    <w:tmpl w:val="110A2788"/>
    <w:lvl w:ilvl="0" w:tplc="DD0A7D68">
      <w:start w:val="1"/>
      <w:numFmt w:val="bullet"/>
      <w:lvlText w:val="•"/>
      <w:lvlJc w:val="left"/>
      <w:pPr>
        <w:tabs>
          <w:tab w:val="num" w:pos="720"/>
        </w:tabs>
        <w:ind w:left="720" w:hanging="360"/>
      </w:pPr>
      <w:rPr>
        <w:rFonts w:ascii="Arial" w:hAnsi="Arial" w:hint="default"/>
      </w:rPr>
    </w:lvl>
    <w:lvl w:ilvl="1" w:tplc="676038DA">
      <w:start w:val="448"/>
      <w:numFmt w:val="bullet"/>
      <w:lvlText w:val="•"/>
      <w:lvlJc w:val="left"/>
      <w:pPr>
        <w:tabs>
          <w:tab w:val="num" w:pos="1440"/>
        </w:tabs>
        <w:ind w:left="1440" w:hanging="360"/>
      </w:pPr>
      <w:rPr>
        <w:rFonts w:ascii="Arial" w:hAnsi="Arial" w:hint="default"/>
      </w:rPr>
    </w:lvl>
    <w:lvl w:ilvl="2" w:tplc="51827714" w:tentative="1">
      <w:start w:val="1"/>
      <w:numFmt w:val="bullet"/>
      <w:lvlText w:val="•"/>
      <w:lvlJc w:val="left"/>
      <w:pPr>
        <w:tabs>
          <w:tab w:val="num" w:pos="2160"/>
        </w:tabs>
        <w:ind w:left="2160" w:hanging="360"/>
      </w:pPr>
      <w:rPr>
        <w:rFonts w:ascii="Arial" w:hAnsi="Arial" w:hint="default"/>
      </w:rPr>
    </w:lvl>
    <w:lvl w:ilvl="3" w:tplc="9740E634" w:tentative="1">
      <w:start w:val="1"/>
      <w:numFmt w:val="bullet"/>
      <w:lvlText w:val="•"/>
      <w:lvlJc w:val="left"/>
      <w:pPr>
        <w:tabs>
          <w:tab w:val="num" w:pos="2880"/>
        </w:tabs>
        <w:ind w:left="2880" w:hanging="360"/>
      </w:pPr>
      <w:rPr>
        <w:rFonts w:ascii="Arial" w:hAnsi="Arial" w:hint="default"/>
      </w:rPr>
    </w:lvl>
    <w:lvl w:ilvl="4" w:tplc="FDAA0F40" w:tentative="1">
      <w:start w:val="1"/>
      <w:numFmt w:val="bullet"/>
      <w:lvlText w:val="•"/>
      <w:lvlJc w:val="left"/>
      <w:pPr>
        <w:tabs>
          <w:tab w:val="num" w:pos="3600"/>
        </w:tabs>
        <w:ind w:left="3600" w:hanging="360"/>
      </w:pPr>
      <w:rPr>
        <w:rFonts w:ascii="Arial" w:hAnsi="Arial" w:hint="default"/>
      </w:rPr>
    </w:lvl>
    <w:lvl w:ilvl="5" w:tplc="79E6091C" w:tentative="1">
      <w:start w:val="1"/>
      <w:numFmt w:val="bullet"/>
      <w:lvlText w:val="•"/>
      <w:lvlJc w:val="left"/>
      <w:pPr>
        <w:tabs>
          <w:tab w:val="num" w:pos="4320"/>
        </w:tabs>
        <w:ind w:left="4320" w:hanging="360"/>
      </w:pPr>
      <w:rPr>
        <w:rFonts w:ascii="Arial" w:hAnsi="Arial" w:hint="default"/>
      </w:rPr>
    </w:lvl>
    <w:lvl w:ilvl="6" w:tplc="F0848FAE" w:tentative="1">
      <w:start w:val="1"/>
      <w:numFmt w:val="bullet"/>
      <w:lvlText w:val="•"/>
      <w:lvlJc w:val="left"/>
      <w:pPr>
        <w:tabs>
          <w:tab w:val="num" w:pos="5040"/>
        </w:tabs>
        <w:ind w:left="5040" w:hanging="360"/>
      </w:pPr>
      <w:rPr>
        <w:rFonts w:ascii="Arial" w:hAnsi="Arial" w:hint="default"/>
      </w:rPr>
    </w:lvl>
    <w:lvl w:ilvl="7" w:tplc="77C4128C" w:tentative="1">
      <w:start w:val="1"/>
      <w:numFmt w:val="bullet"/>
      <w:lvlText w:val="•"/>
      <w:lvlJc w:val="left"/>
      <w:pPr>
        <w:tabs>
          <w:tab w:val="num" w:pos="5760"/>
        </w:tabs>
        <w:ind w:left="5760" w:hanging="360"/>
      </w:pPr>
      <w:rPr>
        <w:rFonts w:ascii="Arial" w:hAnsi="Arial" w:hint="default"/>
      </w:rPr>
    </w:lvl>
    <w:lvl w:ilvl="8" w:tplc="F8324A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6A3552"/>
    <w:multiLevelType w:val="hybridMultilevel"/>
    <w:tmpl w:val="7916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021449"/>
    <w:multiLevelType w:val="hybridMultilevel"/>
    <w:tmpl w:val="DEDA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66DCD"/>
    <w:multiLevelType w:val="hybridMultilevel"/>
    <w:tmpl w:val="1FB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BB2D70"/>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3B78CB"/>
    <w:multiLevelType w:val="hybridMultilevel"/>
    <w:tmpl w:val="457AE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51953"/>
    <w:multiLevelType w:val="hybridMultilevel"/>
    <w:tmpl w:val="4014C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E4164F"/>
    <w:multiLevelType w:val="hybridMultilevel"/>
    <w:tmpl w:val="5B54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C6583D"/>
    <w:multiLevelType w:val="hybridMultilevel"/>
    <w:tmpl w:val="3C3E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DC63B1"/>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F4160"/>
    <w:multiLevelType w:val="hybridMultilevel"/>
    <w:tmpl w:val="70526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34405F"/>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7"/>
  </w:num>
  <w:num w:numId="3">
    <w:abstractNumId w:val="18"/>
  </w:num>
  <w:num w:numId="4">
    <w:abstractNumId w:val="19"/>
  </w:num>
  <w:num w:numId="5">
    <w:abstractNumId w:val="12"/>
  </w:num>
  <w:num w:numId="6">
    <w:abstractNumId w:val="22"/>
  </w:num>
  <w:num w:numId="7">
    <w:abstractNumId w:val="31"/>
  </w:num>
  <w:num w:numId="8">
    <w:abstractNumId w:val="13"/>
  </w:num>
  <w:num w:numId="9">
    <w:abstractNumId w:val="28"/>
  </w:num>
  <w:num w:numId="10">
    <w:abstractNumId w:val="0"/>
  </w:num>
  <w:num w:numId="11">
    <w:abstractNumId w:val="25"/>
  </w:num>
  <w:num w:numId="12">
    <w:abstractNumId w:val="4"/>
  </w:num>
  <w:num w:numId="13">
    <w:abstractNumId w:val="15"/>
  </w:num>
  <w:num w:numId="14">
    <w:abstractNumId w:val="33"/>
  </w:num>
  <w:num w:numId="15">
    <w:abstractNumId w:val="26"/>
  </w:num>
  <w:num w:numId="16">
    <w:abstractNumId w:val="16"/>
  </w:num>
  <w:num w:numId="17">
    <w:abstractNumId w:val="2"/>
  </w:num>
  <w:num w:numId="18">
    <w:abstractNumId w:val="8"/>
  </w:num>
  <w:num w:numId="19">
    <w:abstractNumId w:val="3"/>
  </w:num>
  <w:num w:numId="20">
    <w:abstractNumId w:val="24"/>
  </w:num>
  <w:num w:numId="21">
    <w:abstractNumId w:val="21"/>
  </w:num>
  <w:num w:numId="22">
    <w:abstractNumId w:val="34"/>
  </w:num>
  <w:num w:numId="23">
    <w:abstractNumId w:val="32"/>
  </w:num>
  <w:num w:numId="24">
    <w:abstractNumId w:val="29"/>
  </w:num>
  <w:num w:numId="25">
    <w:abstractNumId w:val="30"/>
  </w:num>
  <w:num w:numId="26">
    <w:abstractNumId w:val="20"/>
  </w:num>
  <w:num w:numId="27">
    <w:abstractNumId w:val="17"/>
  </w:num>
  <w:num w:numId="28">
    <w:abstractNumId w:val="36"/>
  </w:num>
  <w:num w:numId="29">
    <w:abstractNumId w:val="9"/>
  </w:num>
  <w:num w:numId="30">
    <w:abstractNumId w:val="6"/>
  </w:num>
  <w:num w:numId="31">
    <w:abstractNumId w:val="7"/>
  </w:num>
  <w:num w:numId="32">
    <w:abstractNumId w:val="35"/>
  </w:num>
  <w:num w:numId="33">
    <w:abstractNumId w:val="37"/>
  </w:num>
  <w:num w:numId="34">
    <w:abstractNumId w:val="23"/>
  </w:num>
  <w:num w:numId="35">
    <w:abstractNumId w:val="5"/>
  </w:num>
  <w:num w:numId="36">
    <w:abstractNumId w:val="10"/>
  </w:num>
  <w:num w:numId="37">
    <w:abstractNumId w:val="14"/>
  </w:num>
  <w:num w:numId="3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514"/>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76B"/>
    <w:rsid w:val="00034C15"/>
    <w:rsid w:val="00035672"/>
    <w:rsid w:val="00036BA1"/>
    <w:rsid w:val="00037E0E"/>
    <w:rsid w:val="00037FBF"/>
    <w:rsid w:val="00041768"/>
    <w:rsid w:val="00042269"/>
    <w:rsid w:val="000422E2"/>
    <w:rsid w:val="00042593"/>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330B"/>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A04E1"/>
    <w:rsid w:val="000A0610"/>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3656"/>
    <w:rsid w:val="00143695"/>
    <w:rsid w:val="00143DDE"/>
    <w:rsid w:val="00144892"/>
    <w:rsid w:val="00144A2C"/>
    <w:rsid w:val="00144A81"/>
    <w:rsid w:val="001469D4"/>
    <w:rsid w:val="001501DB"/>
    <w:rsid w:val="00150AB6"/>
    <w:rsid w:val="00150F90"/>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487F"/>
    <w:rsid w:val="00194B49"/>
    <w:rsid w:val="00194F24"/>
    <w:rsid w:val="001958BF"/>
    <w:rsid w:val="0019604B"/>
    <w:rsid w:val="00196A3C"/>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3DE"/>
    <w:rsid w:val="001D5635"/>
    <w:rsid w:val="001D56A3"/>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38"/>
    <w:rsid w:val="002E17F2"/>
    <w:rsid w:val="002E2740"/>
    <w:rsid w:val="002E28C1"/>
    <w:rsid w:val="002E2FD7"/>
    <w:rsid w:val="002E48AE"/>
    <w:rsid w:val="002E49A8"/>
    <w:rsid w:val="002E50C6"/>
    <w:rsid w:val="002E5207"/>
    <w:rsid w:val="002E57B7"/>
    <w:rsid w:val="002E6068"/>
    <w:rsid w:val="002E63F4"/>
    <w:rsid w:val="002E6EA1"/>
    <w:rsid w:val="002E7691"/>
    <w:rsid w:val="002E791C"/>
    <w:rsid w:val="002E7CAE"/>
    <w:rsid w:val="002F2771"/>
    <w:rsid w:val="002F37A9"/>
    <w:rsid w:val="002F455D"/>
    <w:rsid w:val="002F4597"/>
    <w:rsid w:val="002F459D"/>
    <w:rsid w:val="002F4940"/>
    <w:rsid w:val="002F4EEB"/>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9E4"/>
    <w:rsid w:val="00324D23"/>
    <w:rsid w:val="0032515B"/>
    <w:rsid w:val="003251B5"/>
    <w:rsid w:val="00326396"/>
    <w:rsid w:val="00326732"/>
    <w:rsid w:val="00326A64"/>
    <w:rsid w:val="003278AB"/>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2541"/>
    <w:rsid w:val="00383C13"/>
    <w:rsid w:val="00384372"/>
    <w:rsid w:val="00384F45"/>
    <w:rsid w:val="0038531D"/>
    <w:rsid w:val="00385BF0"/>
    <w:rsid w:val="003865FE"/>
    <w:rsid w:val="00386C8D"/>
    <w:rsid w:val="003874BE"/>
    <w:rsid w:val="003879D8"/>
    <w:rsid w:val="00387E49"/>
    <w:rsid w:val="00390359"/>
    <w:rsid w:val="003915EB"/>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109F"/>
    <w:rsid w:val="003D2478"/>
    <w:rsid w:val="003D2DDC"/>
    <w:rsid w:val="003D2FC4"/>
    <w:rsid w:val="003D3279"/>
    <w:rsid w:val="003D33CE"/>
    <w:rsid w:val="003D3866"/>
    <w:rsid w:val="003D3C45"/>
    <w:rsid w:val="003D40F8"/>
    <w:rsid w:val="003D47C1"/>
    <w:rsid w:val="003D4ECB"/>
    <w:rsid w:val="003D5B1F"/>
    <w:rsid w:val="003D761D"/>
    <w:rsid w:val="003D7625"/>
    <w:rsid w:val="003D7A25"/>
    <w:rsid w:val="003D7DE0"/>
    <w:rsid w:val="003E04AC"/>
    <w:rsid w:val="003E05BD"/>
    <w:rsid w:val="003E072B"/>
    <w:rsid w:val="003E0D27"/>
    <w:rsid w:val="003E0F30"/>
    <w:rsid w:val="003E1382"/>
    <w:rsid w:val="003E1481"/>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EBB"/>
    <w:rsid w:val="00522248"/>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8FC"/>
    <w:rsid w:val="00542206"/>
    <w:rsid w:val="0054238A"/>
    <w:rsid w:val="00542897"/>
    <w:rsid w:val="00542899"/>
    <w:rsid w:val="0054302C"/>
    <w:rsid w:val="0054355D"/>
    <w:rsid w:val="00543AF9"/>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E07ED"/>
    <w:rsid w:val="005E1C98"/>
    <w:rsid w:val="005E2259"/>
    <w:rsid w:val="005E385F"/>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49C8"/>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B4A"/>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2215"/>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E1"/>
    <w:rsid w:val="00A65E06"/>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52"/>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66E"/>
    <w:rsid w:val="00B64259"/>
    <w:rsid w:val="00B6553E"/>
    <w:rsid w:val="00B658B9"/>
    <w:rsid w:val="00B659E4"/>
    <w:rsid w:val="00B66345"/>
    <w:rsid w:val="00B664C7"/>
    <w:rsid w:val="00B669B8"/>
    <w:rsid w:val="00B70733"/>
    <w:rsid w:val="00B716B4"/>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AAC"/>
    <w:rsid w:val="00B85DE5"/>
    <w:rsid w:val="00B8681D"/>
    <w:rsid w:val="00B86B54"/>
    <w:rsid w:val="00B86D1E"/>
    <w:rsid w:val="00B870F5"/>
    <w:rsid w:val="00B90031"/>
    <w:rsid w:val="00B906C8"/>
    <w:rsid w:val="00B90739"/>
    <w:rsid w:val="00B90F73"/>
    <w:rsid w:val="00B91DE3"/>
    <w:rsid w:val="00B923B3"/>
    <w:rsid w:val="00B92526"/>
    <w:rsid w:val="00B92C63"/>
    <w:rsid w:val="00B92DAF"/>
    <w:rsid w:val="00B92EDB"/>
    <w:rsid w:val="00B92F19"/>
    <w:rsid w:val="00B93427"/>
    <w:rsid w:val="00B93B55"/>
    <w:rsid w:val="00B93B59"/>
    <w:rsid w:val="00B9406A"/>
    <w:rsid w:val="00B94E68"/>
    <w:rsid w:val="00B951DC"/>
    <w:rsid w:val="00B9530B"/>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5447"/>
    <w:rsid w:val="00C35564"/>
    <w:rsid w:val="00C35AA0"/>
    <w:rsid w:val="00C35CCF"/>
    <w:rsid w:val="00C3719D"/>
    <w:rsid w:val="00C3756F"/>
    <w:rsid w:val="00C377C8"/>
    <w:rsid w:val="00C37E19"/>
    <w:rsid w:val="00C40315"/>
    <w:rsid w:val="00C4076A"/>
    <w:rsid w:val="00C410AA"/>
    <w:rsid w:val="00C41251"/>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2EF4"/>
    <w:rsid w:val="00C73332"/>
    <w:rsid w:val="00C73931"/>
    <w:rsid w:val="00C752B6"/>
    <w:rsid w:val="00C75D2F"/>
    <w:rsid w:val="00C767BE"/>
    <w:rsid w:val="00C76963"/>
    <w:rsid w:val="00C76E3C"/>
    <w:rsid w:val="00C76F2F"/>
    <w:rsid w:val="00C770F2"/>
    <w:rsid w:val="00C77209"/>
    <w:rsid w:val="00C77A34"/>
    <w:rsid w:val="00C8128A"/>
    <w:rsid w:val="00C81568"/>
    <w:rsid w:val="00C83454"/>
    <w:rsid w:val="00C836BC"/>
    <w:rsid w:val="00C837B2"/>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301C"/>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9AC"/>
    <w:rsid w:val="00EF7F5C"/>
    <w:rsid w:val="00F000C5"/>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B0"/>
    <w:rsid w:val="00F11CE7"/>
    <w:rsid w:val="00F12470"/>
    <w:rsid w:val="00F12DE8"/>
    <w:rsid w:val="00F12E84"/>
    <w:rsid w:val="00F135A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C6C"/>
    <w:rsid w:val="00FE4C7B"/>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C5A2C-B42F-2444-99AD-D849F280A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591</TotalTime>
  <Pages>7</Pages>
  <Words>2159</Words>
  <Characters>11145</Characters>
  <Application>Microsoft Office Word</Application>
  <DocSecurity>0</DocSecurity>
  <Lines>412</Lines>
  <Paragraphs>166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769</cp:revision>
  <cp:lastPrinted>2008-01-31T16:09:00Z</cp:lastPrinted>
  <dcterms:created xsi:type="dcterms:W3CDTF">2017-09-28T15:58:00Z</dcterms:created>
  <dcterms:modified xsi:type="dcterms:W3CDTF">2018-08-09T17:05:00Z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